
<file path=[Content_Types].xml><?xml version="1.0" encoding="utf-8"?>
<Types xmlns="http://schemas.openxmlformats.org/package/2006/content-types">
  <Default Extension="bin" ContentType="application/vnd.ms-word.attachedToolbar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5908" w14:textId="77777777" w:rsidR="002F2D25" w:rsidRDefault="00000000" w:rsidP="003D2C39">
      <w:pPr>
        <w:pStyle w:val="Els-Author"/>
        <w:spacing w:line="276" w:lineRule="auto"/>
        <w:rPr>
          <w:b/>
          <w:sz w:val="28"/>
          <w:szCs w:val="28"/>
        </w:rPr>
      </w:pPr>
      <w:r>
        <w:rPr>
          <w:b/>
          <w:sz w:val="28"/>
          <w:szCs w:val="28"/>
          <w:lang w:val="zh-CN"/>
        </w:rPr>
        <w:t xml:space="preserve">Formulasi dan Uji Stabilitas Antioksidan Gel Tabir Surya dari Ekstrak Daun Teh Hijau </w:t>
      </w:r>
      <w:r>
        <w:rPr>
          <w:b/>
          <w:i/>
          <w:iCs/>
          <w:sz w:val="28"/>
          <w:szCs w:val="28"/>
          <w:lang w:val="zh-CN"/>
        </w:rPr>
        <w:t>(Camellia Sinensis)</w:t>
      </w:r>
      <w:r>
        <w:rPr>
          <w:b/>
          <w:sz w:val="28"/>
          <w:szCs w:val="28"/>
          <w:lang w:val="zh-CN"/>
        </w:rPr>
        <w:t xml:space="preserve"> Menggunakan Metode DPPH</w:t>
      </w:r>
    </w:p>
    <w:p w14:paraId="6DDF8295" w14:textId="77777777" w:rsidR="003D2C39" w:rsidRPr="003D2C39" w:rsidRDefault="003D2C39" w:rsidP="003D2C39">
      <w:pPr>
        <w:rPr>
          <w:sz w:val="6"/>
          <w:szCs w:val="6"/>
          <w:lang w:val="en-US"/>
        </w:rPr>
      </w:pPr>
    </w:p>
    <w:p w14:paraId="59E07B12" w14:textId="77777777" w:rsidR="002F2D25" w:rsidRDefault="00000000" w:rsidP="003D2C39">
      <w:pPr>
        <w:spacing w:line="276" w:lineRule="auto"/>
        <w:jc w:val="center"/>
        <w:rPr>
          <w:b/>
          <w:i/>
          <w:sz w:val="28"/>
        </w:rPr>
      </w:pPr>
      <w:r>
        <w:rPr>
          <w:b/>
          <w:i/>
          <w:sz w:val="28"/>
        </w:rPr>
        <w:t xml:space="preserve">Formulation and Stability Evaluation of Antioxidant Sunscreen Gel Containing Green Tea Leaf (Camellia sinensis) Extract Using </w:t>
      </w:r>
    </w:p>
    <w:p w14:paraId="50A41DE2" w14:textId="4507A091" w:rsidR="002F2D25" w:rsidRDefault="00000000" w:rsidP="003D2C39">
      <w:pPr>
        <w:spacing w:line="276" w:lineRule="auto"/>
        <w:jc w:val="center"/>
        <w:rPr>
          <w:b/>
          <w:i/>
          <w:sz w:val="28"/>
        </w:rPr>
      </w:pPr>
      <w:r>
        <w:rPr>
          <w:b/>
          <w:i/>
          <w:sz w:val="28"/>
        </w:rPr>
        <w:t>the DPPH Method</w:t>
      </w:r>
    </w:p>
    <w:p w14:paraId="4CCABD5E" w14:textId="77777777" w:rsidR="003D2C39" w:rsidRPr="003D2C39" w:rsidRDefault="003D2C39" w:rsidP="003D2C39">
      <w:pPr>
        <w:spacing w:line="276" w:lineRule="auto"/>
        <w:jc w:val="center"/>
        <w:rPr>
          <w:b/>
          <w:i/>
          <w:sz w:val="16"/>
          <w:szCs w:val="10"/>
        </w:rPr>
      </w:pPr>
    </w:p>
    <w:p w14:paraId="431B40DE" w14:textId="77777777" w:rsidR="002F2D25" w:rsidRDefault="00000000">
      <w:pPr>
        <w:pStyle w:val="Els-Author"/>
        <w:ind w:right="2"/>
        <w:rPr>
          <w:i/>
          <w:sz w:val="24"/>
          <w:szCs w:val="24"/>
          <w:lang w:val="sv-SE" w:eastAsia="zh-CN"/>
        </w:rPr>
      </w:pPr>
      <w:r>
        <w:rPr>
          <w:sz w:val="24"/>
          <w:szCs w:val="24"/>
          <w:lang w:val="sv-SE"/>
        </w:rPr>
        <w:t>Jhon Patar Sinurat</w:t>
      </w:r>
      <w:r>
        <w:rPr>
          <w:sz w:val="24"/>
          <w:szCs w:val="24"/>
          <w:vertAlign w:val="superscript"/>
          <w:lang w:val="sv-SE"/>
        </w:rPr>
        <w:t>1</w:t>
      </w:r>
      <w:r>
        <w:rPr>
          <w:rStyle w:val="FootnoteReference"/>
          <w:sz w:val="24"/>
          <w:szCs w:val="24"/>
          <w:lang w:val="fi-FI"/>
        </w:rPr>
        <w:footnoteReference w:id="1"/>
      </w:r>
      <w:r>
        <w:rPr>
          <w:sz w:val="24"/>
          <w:szCs w:val="24"/>
          <w:lang w:val="sv-SE"/>
        </w:rPr>
        <w:t>, Zahara Fitria</w:t>
      </w:r>
      <w:r>
        <w:rPr>
          <w:sz w:val="24"/>
          <w:szCs w:val="24"/>
          <w:vertAlign w:val="superscript"/>
          <w:lang w:val="sv-SE"/>
        </w:rPr>
        <w:t>2</w:t>
      </w:r>
      <w:r>
        <w:rPr>
          <w:sz w:val="24"/>
          <w:szCs w:val="24"/>
          <w:lang w:val="sv-SE"/>
        </w:rPr>
        <w:t>, Reh Malem Br Karo</w:t>
      </w:r>
      <w:r>
        <w:rPr>
          <w:sz w:val="24"/>
          <w:szCs w:val="24"/>
          <w:vertAlign w:val="superscript"/>
          <w:lang w:val="sv-SE"/>
        </w:rPr>
        <w:t>3</w:t>
      </w:r>
      <w:r>
        <w:rPr>
          <w:sz w:val="24"/>
          <w:szCs w:val="24"/>
          <w:lang w:val="sv-SE"/>
        </w:rPr>
        <w:t>, Shofian Syarifuddin</w:t>
      </w:r>
      <w:r>
        <w:rPr>
          <w:sz w:val="24"/>
          <w:szCs w:val="24"/>
          <w:vertAlign w:val="superscript"/>
          <w:lang w:val="sv-SE"/>
        </w:rPr>
        <w:t xml:space="preserve"> 4</w:t>
      </w:r>
    </w:p>
    <w:p w14:paraId="07944F5B" w14:textId="77777777" w:rsidR="002F2D25" w:rsidRDefault="00000000">
      <w:pPr>
        <w:pStyle w:val="Els-Affiliation"/>
        <w:rPr>
          <w:lang w:val="sv-SE"/>
        </w:rPr>
      </w:pPr>
      <w:r>
        <w:rPr>
          <w:vertAlign w:val="superscript"/>
          <w:lang w:val="sv-SE"/>
        </w:rPr>
        <w:t>1,2,3,4</w:t>
      </w:r>
      <w:r>
        <w:rPr>
          <w:lang w:val="sv-SE"/>
        </w:rPr>
        <w:t>Institut Kesehatan Medistra Lubuk Pakam</w:t>
      </w:r>
    </w:p>
    <w:p w14:paraId="3FC8781B" w14:textId="1FF297DC" w:rsidR="002F2D25" w:rsidRDefault="00000000" w:rsidP="003D2C39">
      <w:pPr>
        <w:pStyle w:val="Els-Affiliation"/>
        <w:spacing w:after="400"/>
        <w:rPr>
          <w:lang w:val="sv-SE" w:eastAsia="zh-CN"/>
        </w:rPr>
      </w:pPr>
      <w:r>
        <w:rPr>
          <w:lang w:val="sv-SE" w:eastAsia="zh-CN"/>
        </w:rPr>
        <w:t>Jln. Sudirman No.38 Lubuk Pakam, Kabupaten Deli Serdang, Sumatera Utara – Indonesia</w:t>
      </w:r>
    </w:p>
    <w:p w14:paraId="08B47316" w14:textId="77777777" w:rsidR="002F2D25" w:rsidRDefault="00000000">
      <w:pPr>
        <w:pStyle w:val="Els-Abstract-head"/>
        <w:spacing w:after="0" w:line="276" w:lineRule="auto"/>
        <w:rPr>
          <w:lang w:val="sv-SE"/>
        </w:rPr>
      </w:pPr>
      <w:r>
        <w:rPr>
          <w:lang w:val="sv-SE"/>
        </w:rPr>
        <w:t>Abstrak</w:t>
      </w:r>
    </w:p>
    <w:p w14:paraId="0DAFCD37" w14:textId="77777777" w:rsidR="002F2D25" w:rsidRDefault="00000000">
      <w:pPr>
        <w:pStyle w:val="Default"/>
        <w:spacing w:line="276" w:lineRule="auto"/>
        <w:jc w:val="both"/>
        <w:rPr>
          <w:rFonts w:ascii="Times New Roman" w:hAnsi="Times New Roman" w:cs="Times New Roman"/>
          <w:iCs/>
          <w:sz w:val="18"/>
          <w:szCs w:val="18"/>
          <w:lang w:val="sv-SE"/>
        </w:rPr>
      </w:pPr>
      <w:r>
        <w:rPr>
          <w:rFonts w:ascii="Times New Roman" w:hAnsi="Times New Roman" w:cs="Times New Roman"/>
          <w:iCs/>
          <w:sz w:val="18"/>
          <w:szCs w:val="18"/>
          <w:lang w:val="sv-SE"/>
        </w:rPr>
        <w:t xml:space="preserve">Sediaan tabir surya berfungsi untuk melindungi kulit dari paparan radiasi ultraviolet (UV), namun penggunaan bahan sintetis secara berlebihan berpotensi menimbulkan efek samping pada kulit. Pemanfaatan bahan alami sebagai alternatif semakin berkembang, salah satunya adalah daun teh hijau </w:t>
      </w:r>
      <w:r>
        <w:rPr>
          <w:rFonts w:ascii="Times New Roman" w:hAnsi="Times New Roman" w:cs="Times New Roman"/>
          <w:i/>
          <w:sz w:val="18"/>
          <w:szCs w:val="18"/>
          <w:lang w:val="sv-SE"/>
        </w:rPr>
        <w:t>(Camellia sinensis)</w:t>
      </w:r>
      <w:r>
        <w:rPr>
          <w:rFonts w:ascii="Times New Roman" w:hAnsi="Times New Roman" w:cs="Times New Roman"/>
          <w:iCs/>
          <w:sz w:val="18"/>
          <w:szCs w:val="18"/>
          <w:lang w:val="sv-SE"/>
        </w:rPr>
        <w:t xml:space="preserve"> yang kaya akan senyawa antioksidan. Penelitian ini bertujuan untuk memformulasikan dan mengevaluasi stabilitas serta aktivitas antioksidan gel tabir surya berbasis ekstrak daun teh hijau. Penelitian ini merupakan studi eksperimental laboratorium dengan pendekatan kuantitatif menggunakan desain posttest only control group. Sediaan gel diformulasikan dalam empat variasi konsentrasi ekstrak, yaitu 0% (F0), 5% (F1), 10% (F2), dan 15% (F3), kemudian dilakukan pengujian karakteristik fisik, iritasi, serta aktivitas antioksidan metode DPPH. Hasil penelitian menunjukkan bahwa dari 3,8 kg simplisia kering diperoleh ekstrak sebesar 392 g dengan rendemen 10,32%. Uji fitokimia mengindikasikan adanya flavonoid, tanin, saponin, dan alkaloid. Seluruh sediaan memiliki bentuk semi padat, homogen, serta pH stabil pada kisaran 6,0–6,3 yang sesuai dengan pH kulit. Selain itu, tidak ditemukan reaksi iritasi pada 12 relawan. Aktivitas antioksidan meningkat seiring dengan kenaikan konsentrasi ekstrak, dengan nilai IC₅₀ berturut-turut sebesar 28,86 ppm (F0), 22,11 ppm (F1), 21,25 ppm (F2), dan 20,72 ppm (F3). </w:t>
      </w:r>
      <w:r w:rsidR="00886A65">
        <w:rPr>
          <w:rFonts w:ascii="Times New Roman" w:hAnsi="Times New Roman" w:cs="Times New Roman"/>
          <w:iCs/>
          <w:sz w:val="18"/>
          <w:szCs w:val="18"/>
          <w:lang w:val="sv-SE"/>
        </w:rPr>
        <w:t xml:space="preserve">Selain itu, diperoleh juga secara berturut untuk nilai masing-masing perseng inhibisi </w:t>
      </w:r>
      <w:r w:rsidR="00886A65" w:rsidRPr="00886A65">
        <w:rPr>
          <w:rFonts w:ascii="Times New Roman" w:hAnsi="Times New Roman" w:cs="Times New Roman"/>
          <w:iCs/>
          <w:sz w:val="18"/>
          <w:szCs w:val="18"/>
          <w:lang w:val="sv-SE"/>
        </w:rPr>
        <w:t>F0</w:t>
      </w:r>
      <w:r w:rsidR="00886A65">
        <w:rPr>
          <w:rFonts w:ascii="Times New Roman" w:hAnsi="Times New Roman" w:cs="Times New Roman"/>
          <w:iCs/>
          <w:sz w:val="18"/>
          <w:szCs w:val="18"/>
          <w:lang w:val="sv-SE"/>
        </w:rPr>
        <w:t>-F3 yang semakin naik yaitu</w:t>
      </w:r>
      <w:r w:rsidR="00886A65" w:rsidRPr="00886A65">
        <w:rPr>
          <w:rFonts w:ascii="Times New Roman" w:hAnsi="Times New Roman" w:cs="Times New Roman"/>
          <w:iCs/>
          <w:sz w:val="18"/>
          <w:szCs w:val="18"/>
          <w:lang w:val="sv-SE"/>
        </w:rPr>
        <w:t xml:space="preserve"> 8,24–17,50%</w:t>
      </w:r>
      <w:r w:rsidR="00886A65">
        <w:rPr>
          <w:rFonts w:ascii="Times New Roman" w:hAnsi="Times New Roman" w:cs="Times New Roman"/>
          <w:iCs/>
          <w:sz w:val="18"/>
          <w:szCs w:val="18"/>
          <w:lang w:val="sv-SE"/>
        </w:rPr>
        <w:t xml:space="preserve">; </w:t>
      </w:r>
      <w:r w:rsidR="00886A65" w:rsidRPr="00886A65">
        <w:rPr>
          <w:rFonts w:ascii="Times New Roman" w:hAnsi="Times New Roman" w:cs="Times New Roman"/>
          <w:iCs/>
          <w:sz w:val="18"/>
          <w:szCs w:val="18"/>
          <w:lang w:val="sv-SE"/>
        </w:rPr>
        <w:t>15,79–26,28%</w:t>
      </w:r>
      <w:r w:rsidR="00886A65">
        <w:rPr>
          <w:rFonts w:ascii="Times New Roman" w:hAnsi="Times New Roman" w:cs="Times New Roman"/>
          <w:iCs/>
          <w:sz w:val="18"/>
          <w:szCs w:val="18"/>
          <w:lang w:val="sv-SE"/>
        </w:rPr>
        <w:t xml:space="preserve">; </w:t>
      </w:r>
      <w:r w:rsidR="00886A65" w:rsidRPr="00886A65">
        <w:rPr>
          <w:rFonts w:ascii="Times New Roman" w:hAnsi="Times New Roman" w:cs="Times New Roman"/>
          <w:iCs/>
          <w:sz w:val="18"/>
          <w:szCs w:val="18"/>
          <w:lang w:val="sv-SE"/>
        </w:rPr>
        <w:t>13,30–24,89% dan 14,82–26,25%</w:t>
      </w:r>
      <w:r w:rsidR="00886A65">
        <w:rPr>
          <w:rFonts w:ascii="Times New Roman" w:hAnsi="Times New Roman" w:cs="Times New Roman"/>
          <w:iCs/>
          <w:sz w:val="18"/>
          <w:szCs w:val="18"/>
          <w:lang w:val="sv-SE"/>
        </w:rPr>
        <w:t xml:space="preserve">. </w:t>
      </w:r>
      <w:r>
        <w:rPr>
          <w:rFonts w:ascii="Times New Roman" w:hAnsi="Times New Roman" w:cs="Times New Roman"/>
          <w:iCs/>
          <w:sz w:val="18"/>
          <w:szCs w:val="18"/>
          <w:lang w:val="sv-SE"/>
        </w:rPr>
        <w:t>Ekstrak daun teh hijau terbukti berpotensi sebagai bahan aktif dalam formulasi gel tabir surya yang aman, stabil, dan memiliki aktivitas antioksidan kuat.</w:t>
      </w:r>
    </w:p>
    <w:p w14:paraId="2C606FA1" w14:textId="77777777" w:rsidR="002F2D25" w:rsidRDefault="002F2D25">
      <w:pPr>
        <w:pStyle w:val="Default"/>
        <w:spacing w:line="276" w:lineRule="auto"/>
        <w:jc w:val="both"/>
        <w:rPr>
          <w:rFonts w:ascii="Times New Roman" w:hAnsi="Times New Roman" w:cs="Times New Roman"/>
          <w:i/>
          <w:sz w:val="18"/>
          <w:szCs w:val="18"/>
          <w:lang w:val="sv-SE"/>
        </w:rPr>
      </w:pPr>
    </w:p>
    <w:p w14:paraId="0AA73341" w14:textId="77777777" w:rsidR="002F2D25" w:rsidRDefault="00000000">
      <w:pPr>
        <w:pStyle w:val="Els-Abstract-head"/>
        <w:spacing w:after="0" w:line="276" w:lineRule="auto"/>
        <w:rPr>
          <w:i/>
          <w:iCs/>
          <w:lang w:val="zh-CN"/>
        </w:rPr>
      </w:pPr>
      <w:r>
        <w:rPr>
          <w:bCs/>
          <w:color w:val="000000"/>
          <w:szCs w:val="18"/>
          <w:lang w:val="sv-SE"/>
        </w:rPr>
        <w:t xml:space="preserve">Kata Kunci: </w:t>
      </w:r>
      <w:r>
        <w:rPr>
          <w:b w:val="0"/>
          <w:color w:val="000000"/>
          <w:szCs w:val="18"/>
          <w:lang w:val="sv-SE"/>
        </w:rPr>
        <w:t>Daun Teh Hijau; DPPH; Formulasi; Gel Tabir Surya; Uji Stabilitas Antioksidan</w:t>
      </w:r>
      <w:r>
        <w:rPr>
          <w:color w:val="000000"/>
          <w:szCs w:val="18"/>
          <w:lang w:val="sv-SE"/>
        </w:rPr>
        <w:br/>
      </w:r>
      <w:r>
        <w:rPr>
          <w:color w:val="000000"/>
          <w:szCs w:val="18"/>
          <w:lang w:val="sv-SE"/>
        </w:rPr>
        <w:br/>
      </w:r>
      <w:r>
        <w:rPr>
          <w:i/>
          <w:iCs/>
          <w:lang w:val="zh-CN"/>
        </w:rPr>
        <w:t>Abstract</w:t>
      </w:r>
    </w:p>
    <w:p w14:paraId="4B660E31" w14:textId="77777777" w:rsidR="002F2D25" w:rsidRDefault="00886A65">
      <w:pPr>
        <w:pStyle w:val="Els-keywords"/>
        <w:tabs>
          <w:tab w:val="center" w:pos="4677"/>
        </w:tabs>
        <w:spacing w:after="0" w:line="276" w:lineRule="auto"/>
        <w:jc w:val="both"/>
        <w:rPr>
          <w:i/>
          <w:iCs/>
          <w:sz w:val="18"/>
          <w:szCs w:val="18"/>
          <w:lang w:val="en-GB"/>
        </w:rPr>
      </w:pPr>
      <w:r w:rsidRPr="00886A65">
        <w:rPr>
          <w:i/>
          <w:iCs/>
          <w:sz w:val="18"/>
          <w:szCs w:val="18"/>
          <w:lang w:val="en-GB"/>
        </w:rPr>
        <w:t xml:space="preserve">Sunscreen formulations are designed to protect the skin from exposure to ultraviolet (UV) radiation; however, excessive use of synthetic ingredients may lead to adverse effects on the skin. The utilization of natural ingredients as alternatives has gained increasing attention, one of which is green tea leaves (Camellia sinensis), known for their rich antioxidant content. This study aimed to formulate and evaluate the stability and antioxidant activity of a sunscreen gel based on green tea leaf extract. This research was a laboratory-based experimental study employing a quantitative approach with a post-test only control group design. The gel formulations were prepared in four variations of extract concentration, namely 0% (F0), 5% (F1), 10% (F2), and 15% (F3). The preparations were then evaluated for physical characteristics, irritation potential, and antioxidant activity using the DPPH method. The results showed that 392 g of extract was obtained from 3.8 kg of dried simplicia, yielding a 10.32% extraction yield. Phytochemical screening indicated the presence of flavonoids, tannins, saponins, and alkaloids. All formulations exhibited a semi-solid form, good homogeneity, and stable pH values ranging from 6.0 to 6.3, which are compatible with skin pH. Furthermore, no irritation reactions were observed among the 12 volunteers. Antioxidant activity increased with higher extract concentrations, with IC₅₀ values of 28.86 ppm (F0), 22.11 ppm (F1), 21.25 ppm (F2), and 20.72 </w:t>
      </w:r>
      <w:r w:rsidRPr="00886A65">
        <w:rPr>
          <w:i/>
          <w:iCs/>
          <w:sz w:val="18"/>
          <w:szCs w:val="18"/>
          <w:lang w:val="en-GB"/>
        </w:rPr>
        <w:lastRenderedPageBreak/>
        <w:t>ppm (F3). In addition, the percentage of inhibition for F0–F3 also showed an increasing trend, namely 8.24–17.50%, 15.79–26.28%, 13.30–24.89%, and 14.82–26.25%, respectively. In conclusion, green tea leaf extract demonstrates strong potential as an active ingredient in sunscreen gel formulations that are safe, stable, and possess significant antioxidant activity.</w:t>
      </w:r>
    </w:p>
    <w:p w14:paraId="253B55E1" w14:textId="77777777" w:rsidR="002F2D25" w:rsidRDefault="00000000">
      <w:pPr>
        <w:pStyle w:val="Els-keywords"/>
        <w:tabs>
          <w:tab w:val="center" w:pos="4677"/>
        </w:tabs>
        <w:spacing w:after="0" w:line="276" w:lineRule="auto"/>
        <w:jc w:val="both"/>
        <w:rPr>
          <w:lang w:val="en-GB"/>
        </w:rPr>
      </w:pPr>
      <w:r>
        <w:rPr>
          <w:i/>
          <w:iCs/>
          <w:sz w:val="18"/>
          <w:szCs w:val="18"/>
          <w:lang w:val="en-GB"/>
        </w:rPr>
        <w:br/>
      </w:r>
      <w:r>
        <w:rPr>
          <w:b/>
          <w:bCs/>
          <w:i/>
          <w:iCs/>
          <w:sz w:val="18"/>
          <w:szCs w:val="18"/>
          <w:lang w:val="en-GB"/>
        </w:rPr>
        <w:t>Keywords:</w:t>
      </w:r>
      <w:r>
        <w:rPr>
          <w:i/>
          <w:iCs/>
          <w:sz w:val="18"/>
          <w:szCs w:val="18"/>
          <w:lang w:val="en-GB"/>
        </w:rPr>
        <w:t xml:space="preserve"> Green Tea Leaves; DPPH; Formulation; Sunscreen Gel; Antioxidant Stability Test</w:t>
      </w:r>
    </w:p>
    <w:p w14:paraId="705A57AD" w14:textId="77777777" w:rsidR="002F2D25" w:rsidRDefault="002F2D25">
      <w:pPr>
        <w:pStyle w:val="Els-body-text"/>
        <w:ind w:right="-28" w:firstLine="0"/>
        <w:rPr>
          <w:sz w:val="16"/>
          <w:szCs w:val="16"/>
          <w:lang w:val="en-GB"/>
        </w:rPr>
      </w:pPr>
    </w:p>
    <w:p w14:paraId="54E277DD" w14:textId="77777777" w:rsidR="002F2D25" w:rsidRDefault="00000000">
      <w:pPr>
        <w:pStyle w:val="NormalWeb"/>
        <w:numPr>
          <w:ilvl w:val="0"/>
          <w:numId w:val="6"/>
        </w:numPr>
        <w:spacing w:before="0" w:beforeAutospacing="0" w:after="0" w:afterAutospacing="0" w:line="276" w:lineRule="auto"/>
        <w:ind w:left="284" w:hanging="284"/>
        <w:jc w:val="both"/>
        <w:rPr>
          <w:b/>
          <w:color w:val="000000"/>
          <w:sz w:val="20"/>
          <w:szCs w:val="20"/>
        </w:rPr>
      </w:pPr>
      <w:r>
        <w:rPr>
          <w:b/>
          <w:color w:val="000000"/>
          <w:sz w:val="20"/>
          <w:szCs w:val="20"/>
        </w:rPr>
        <w:t>PENDAHULUAN</w:t>
      </w:r>
    </w:p>
    <w:p w14:paraId="0F1D4868" w14:textId="77777777" w:rsidR="002F2D25" w:rsidRDefault="00000000">
      <w:pPr>
        <w:pStyle w:val="NormalWeb"/>
        <w:spacing w:before="0" w:beforeAutospacing="0" w:after="0" w:afterAutospacing="0" w:line="276" w:lineRule="auto"/>
        <w:jc w:val="both"/>
        <w:rPr>
          <w:rFonts w:eastAsia="Cambria"/>
          <w:color w:val="000000"/>
          <w:sz w:val="20"/>
          <w:szCs w:val="20"/>
          <w:lang w:val="en-GB"/>
        </w:rPr>
      </w:pPr>
      <w:r>
        <w:rPr>
          <w:rFonts w:eastAsia="Cambria"/>
          <w:color w:val="000000"/>
          <w:sz w:val="20"/>
          <w:szCs w:val="20"/>
          <w:lang w:val="en-GB"/>
        </w:rPr>
        <w:t xml:space="preserve">Sediaan tabir surya merupakan formulasi kosmetik yang dirancang untuk secara efektif menghambat radiasi sinar ultraviolet (UV), sehingga mampu memberikan perlindungan terhadap kulit dari paparan langsung sinar tersebut </w:t>
      </w:r>
      <w:r>
        <w:rPr>
          <w:rFonts w:eastAsia="Cambria"/>
          <w:color w:val="000000"/>
          <w:sz w:val="20"/>
          <w:szCs w:val="20"/>
          <w:lang w:val="en-GB"/>
        </w:rPr>
        <w:fldChar w:fldCharType="begin" w:fldLock="1"/>
      </w:r>
      <w:r>
        <w:rPr>
          <w:rFonts w:eastAsia="Cambria"/>
          <w:color w:val="000000"/>
          <w:sz w:val="20"/>
          <w:szCs w:val="20"/>
          <w:lang w:val="en-GB"/>
        </w:rPr>
        <w:instrText>ADDIN CSL_CITATION {"citationItems":[{"id":"ITEM-1","itemData":{"DOI":"10.1016/j.biopha.2020.111161","ISSN":"07533322","author":[{"dropping-particle":"","family":"He","given":"hailun","non-dropping-particle":"","parse-names":false,"suffix":""},{"dropping-particle":"","family":"Li","given":"Anqi","non-dropping-particle":"","parse-names":false,"suffix":""},{"dropping-particle":"","family":"Li","given":"Shiqin","non-dropping-particle":"","parse-names":false,"suffix":""},{"dropping-particle":"","family":"Tang","given":"Jie","non-dropping-particle":"","parse-names":false,"suffix":""},{"dropping-particle":"","family":"Li","given":"Li","non-dropping-particle":"","parse-names":false,"suffix":""},{"dropping-particle":"","family":"Xiong","given":"Lidan","non-dropping-particle":"","parse-names":false,"suffix":""}],"container-title":"Biomedicine &amp; Pharmacotherapy","id":"ITEM-1","issued":{"date-parts":[["2021","2"]]},"page":"111161","title":"Natural components in sunscreens: Topical formulations with sun protection factor (SPF)","type":"article-journal","volume":"134"},"uris":["http://www.mendeley.com/documents/?uuid=5218fa14-486d-469a-8c4b-bc500f9026ae"]}],"mendeley":{"formattedCitation":"[1]","plainTextFormattedCitation":"[1]","previouslyFormattedCitation":"[1]"},"properties":{"noteIndex":0},"schema":"https://github.com/citation-style-language/schema/raw/master/csl-citation.json"}</w:instrText>
      </w:r>
      <w:r>
        <w:rPr>
          <w:rFonts w:eastAsia="Cambria"/>
          <w:color w:val="000000"/>
          <w:sz w:val="20"/>
          <w:szCs w:val="20"/>
          <w:lang w:val="en-GB"/>
        </w:rPr>
        <w:fldChar w:fldCharType="separate"/>
      </w:r>
      <w:r>
        <w:rPr>
          <w:rFonts w:eastAsia="Cambria"/>
          <w:color w:val="000000"/>
          <w:sz w:val="20"/>
          <w:szCs w:val="20"/>
          <w:lang w:val="en-GB"/>
        </w:rPr>
        <w:t>[1]</w:t>
      </w:r>
      <w:r>
        <w:rPr>
          <w:rFonts w:eastAsia="Cambria"/>
          <w:color w:val="000000"/>
          <w:sz w:val="20"/>
          <w:szCs w:val="20"/>
          <w:lang w:val="en-GB"/>
        </w:rPr>
        <w:fldChar w:fldCharType="end"/>
      </w:r>
      <w:r>
        <w:rPr>
          <w:rFonts w:eastAsia="Cambria"/>
          <w:color w:val="000000"/>
          <w:sz w:val="20"/>
          <w:szCs w:val="20"/>
          <w:lang w:val="en-GB"/>
        </w:rPr>
        <w:t xml:space="preserve">. Namun demikian, penggunaan bahan sintetis dalam jumlah berlebih pada produk kosmetik berpotensi menimbulkan kerusakan kulit </w:t>
      </w:r>
      <w:r>
        <w:rPr>
          <w:rFonts w:eastAsia="Cambria"/>
          <w:color w:val="000000"/>
          <w:sz w:val="20"/>
          <w:szCs w:val="20"/>
          <w:lang w:val="en-GB"/>
        </w:rPr>
        <w:fldChar w:fldCharType="begin" w:fldLock="1"/>
      </w:r>
      <w:r>
        <w:rPr>
          <w:rFonts w:eastAsia="Cambria"/>
          <w:color w:val="000000"/>
          <w:sz w:val="20"/>
          <w:szCs w:val="20"/>
          <w:lang w:val="en-GB"/>
        </w:rPr>
        <w:instrText>ADDIN CSL_CITATION {"citationItems":[{"id":"ITEM-1","itemData":{"DOI":"10.1111/jocd.15170","ISSN":"1473-2130","author":[{"dropping-particle":"","family":"Ng","given":"Shin Yi","non-dropping-particle":"","parse-names":false,"suffix":""},{"dropping-particle":"","family":"Eh Suk","given":"Vicit Rizal","non-dropping-particle":"","parse-names":false,"suffix":""},{"dropping-particle":"","family":"Gew","given":"Lai Ti","non-dropping-particle":"","parse-names":false,"suffix":""}],"container-title":"Journal of Cosmetic Dermatology","id":"ITEM-1","issue":"11","issued":{"date-parts":[["2022","11","27"]]},"page":"5409-5444","title":"Plant polyphenols as green sunscreen ingredients: A systematic review","type":"article-journal","volume":"21"},"uris":["http://www.mendeley.com/documents/?uuid=b6ba57cb-8f8e-4ef5-8b2e-75c1b26d379a"]}],"mendeley":{"formattedCitation":"[2]","plainTextFormattedCitation":"[2]","previouslyFormattedCitation":"[2]"},"properties":{"noteIndex":0},"schema":"https://github.com/citation-style-language/schema/raw/master/csl-citation.json"}</w:instrText>
      </w:r>
      <w:r>
        <w:rPr>
          <w:rFonts w:eastAsia="Cambria"/>
          <w:color w:val="000000"/>
          <w:sz w:val="20"/>
          <w:szCs w:val="20"/>
          <w:lang w:val="en-GB"/>
        </w:rPr>
        <w:fldChar w:fldCharType="separate"/>
      </w:r>
      <w:r>
        <w:rPr>
          <w:rFonts w:eastAsia="Cambria"/>
          <w:color w:val="000000"/>
          <w:sz w:val="20"/>
          <w:szCs w:val="20"/>
          <w:lang w:val="en-GB"/>
        </w:rPr>
        <w:t>[2]</w:t>
      </w:r>
      <w:r>
        <w:rPr>
          <w:rFonts w:eastAsia="Cambria"/>
          <w:color w:val="000000"/>
          <w:sz w:val="20"/>
          <w:szCs w:val="20"/>
          <w:lang w:val="en-GB"/>
        </w:rPr>
        <w:fldChar w:fldCharType="end"/>
      </w:r>
      <w:r>
        <w:rPr>
          <w:rFonts w:eastAsia="Cambria"/>
          <w:color w:val="000000"/>
          <w:sz w:val="20"/>
          <w:szCs w:val="20"/>
          <w:lang w:val="en-GB"/>
        </w:rPr>
        <w:t xml:space="preserve">. Seiring dengan meningkatnya kesadaran akan keamanan bahan alami, berbagai penelitian dalam beberapa tahun terakhir mulai berfokus pada eksplorasi senyawa alami sebagai agen tabir surya. Senyawa alami diketahui memiliki efek samping yang relatif minimal serta risiko alergi yang lebih rendah dibandingkan bahan sintetis </w:t>
      </w:r>
      <w:r>
        <w:rPr>
          <w:rFonts w:eastAsia="Cambria"/>
          <w:color w:val="000000"/>
          <w:sz w:val="20"/>
          <w:szCs w:val="20"/>
          <w:lang w:val="en-GB"/>
        </w:rPr>
        <w:fldChar w:fldCharType="begin" w:fldLock="1"/>
      </w:r>
      <w:r>
        <w:rPr>
          <w:rFonts w:eastAsia="Cambria"/>
          <w:color w:val="000000"/>
          <w:sz w:val="20"/>
          <w:szCs w:val="20"/>
          <w:lang w:val="en-GB"/>
        </w:rPr>
        <w:instrText>ADDIN CSL_CITATION {"citationItems":[{"id":"ITEM-1","itemData":{"DOI":"10.1002/ame2.12295","ISSN":"2576-2095","abstract":"Although solar exposure is necessary for human health, phototoxicology induced by excessive UVB and UVA radiation, which involves sunburns, skin aging and even tumorigenesis, has been widely researched. Sunscreen is one of the most important ways to protect skin from UV phototoxic damage. As well as inorganic and organic UV filters, some natural products or plant extracts with aromatic rings in their structures, such as flavonoids or polyphenols, can absorb UV to reduce sunburn, acting as a natural UV filter; they also show antioxidant or/and anti‐inflammatory activity. This could explain why, although there are no officially approval natural commercial sun‐filters, more and more commercial sunscreen products containing plant extracts are available on the market. Here we summarize articles focusing on natural UV filters from plant published in the last 6 years, selecting the most significant data in order to better understand the photoprotective activity of natural products and extracts from plants, including their major constituents and main biological effects, methods for evaluating UV radiation resistance, anti‐UV radiation experimental models and anti‐UV radiation mechanisms.","author":[{"dropping-particle":"","family":"Li","given":"Liyan","non-dropping-particle":"","parse-names":false,"suffix":""},{"dropping-particle":"","family":"Chong","given":"Lan","non-dropping-particle":"","parse-names":false,"suffix":""},{"dropping-particle":"","family":"Huang","given":"Tao","non-dropping-particle":"","parse-names":false,"suffix":""},{"dropping-particle":"","family":"Ma","given":"Yunge","non-dropping-particle":"","parse-names":false,"suffix":""},{"dropping-particle":"","family":"Li","given":"Yingyan","non-dropping-particle":"","parse-names":false,"suffix":""},{"dropping-particle":"","family":"Ding","given":"Hui","non-dropping-particle":"","parse-names":false,"suffix":""}],"container-title":"Animal Models and Experimental Medicine","id":"ITEM-1","issue":"3","issued":{"date-parts":[["2023","6","19"]]},"page":"183-195","title":"Natural products and extracts from plants as natural UV filters for sunscreens: A review","type":"article-journal","volume":"6"},"uris":["http://www.mendeley.com/documents/?uuid=8bc6e454-71e8-40b6-b39d-4fcfe88b9222"]}],"mendeley":{"formattedCitation":"[3]","plainTextFormattedCitation":"[3]","previouslyFormattedCitation":"[3]"},"properties":{"noteIndex":0},"schema":"https://github.com/citation-style-language/schema/raw/master/csl-citation.json"}</w:instrText>
      </w:r>
      <w:r>
        <w:rPr>
          <w:rFonts w:eastAsia="Cambria"/>
          <w:color w:val="000000"/>
          <w:sz w:val="20"/>
          <w:szCs w:val="20"/>
          <w:lang w:val="en-GB"/>
        </w:rPr>
        <w:fldChar w:fldCharType="separate"/>
      </w:r>
      <w:r>
        <w:rPr>
          <w:rFonts w:eastAsia="Cambria"/>
          <w:color w:val="000000"/>
          <w:sz w:val="20"/>
          <w:szCs w:val="20"/>
          <w:lang w:val="en-GB"/>
        </w:rPr>
        <w:t>[3]</w:t>
      </w:r>
      <w:r>
        <w:rPr>
          <w:rFonts w:eastAsia="Cambria"/>
          <w:color w:val="000000"/>
          <w:sz w:val="20"/>
          <w:szCs w:val="20"/>
          <w:lang w:val="en-GB"/>
        </w:rPr>
        <w:fldChar w:fldCharType="end"/>
      </w:r>
      <w:r>
        <w:rPr>
          <w:rFonts w:eastAsia="Cambria"/>
          <w:color w:val="000000"/>
          <w:sz w:val="20"/>
          <w:szCs w:val="20"/>
          <w:lang w:val="en-GB"/>
        </w:rPr>
        <w:t xml:space="preserve">. Oleh karena itu, bahan alami dipandang lebih aman untuk aplikasi topikal pada kulit, seperti daun teh </w:t>
      </w:r>
      <w:r>
        <w:rPr>
          <w:rFonts w:eastAsia="Cambria"/>
          <w:i/>
          <w:iCs/>
          <w:color w:val="000000"/>
          <w:sz w:val="20"/>
          <w:szCs w:val="20"/>
          <w:lang w:val="en-GB"/>
        </w:rPr>
        <w:t>(Camellia sinensis)</w:t>
      </w:r>
      <w:r>
        <w:rPr>
          <w:rFonts w:eastAsia="Cambria"/>
          <w:color w:val="000000"/>
          <w:sz w:val="20"/>
          <w:szCs w:val="20"/>
          <w:lang w:val="en-GB"/>
        </w:rPr>
        <w:t xml:space="preserve"> yang dapat dimanfaatkan sebagai alternatif pengganti komponen sintetis dalam formulasi tabir surya </w:t>
      </w:r>
      <w:r>
        <w:rPr>
          <w:rFonts w:eastAsia="Cambria"/>
          <w:color w:val="000000"/>
          <w:sz w:val="20"/>
          <w:szCs w:val="20"/>
          <w:lang w:val="en-GB"/>
        </w:rPr>
        <w:fldChar w:fldCharType="begin" w:fldLock="1"/>
      </w:r>
      <w:r>
        <w:rPr>
          <w:rFonts w:eastAsia="Cambria"/>
          <w:color w:val="000000"/>
          <w:sz w:val="20"/>
          <w:szCs w:val="20"/>
          <w:lang w:val="en-GB"/>
        </w:rPr>
        <w:instrText>ADDIN CSL_CITATION {"citationItems":[{"id":"ITEM-1","itemData":{"DOI":"10.1016/j.jddst.2020.102000","ISSN":"17732247","author":[{"dropping-particle":"","family":"Bhattacharya","given":"Sohini","non-dropping-particle":"","parse-names":false,"suffix":""},{"dropping-particle":"","family":"Sherje","given":"Atul P.","non-dropping-particle":"","parse-names":false,"suffix":""}],"container-title":"Journal of Drug Delivery Science and Technology","id":"ITEM-1","issued":{"date-parts":[["2020","12"]]},"page":"102000","title":"Development of resveratrol and green tea sunscreen formulation for combined photoprotective and antioxidant properties","type":"article-journal","volume":"60"},"uris":["http://www.mendeley.com/documents/?uuid=5ea0614a-4f3e-4a2c-8819-47b3cdaa147c"]}],"mendeley":{"formattedCitation":"[4]","plainTextFormattedCitation":"[4]","previouslyFormattedCitation":"[4]"},"properties":{"noteIndex":0},"schema":"https://github.com/citation-style-language/schema/raw/master/csl-citation.json"}</w:instrText>
      </w:r>
      <w:r>
        <w:rPr>
          <w:rFonts w:eastAsia="Cambria"/>
          <w:color w:val="000000"/>
          <w:sz w:val="20"/>
          <w:szCs w:val="20"/>
          <w:lang w:val="en-GB"/>
        </w:rPr>
        <w:fldChar w:fldCharType="separate"/>
      </w:r>
      <w:r>
        <w:rPr>
          <w:rFonts w:eastAsia="Cambria"/>
          <w:color w:val="000000"/>
          <w:sz w:val="20"/>
          <w:szCs w:val="20"/>
          <w:lang w:val="en-GB"/>
        </w:rPr>
        <w:t>[4]</w:t>
      </w:r>
      <w:r>
        <w:rPr>
          <w:rFonts w:eastAsia="Cambria"/>
          <w:color w:val="000000"/>
          <w:sz w:val="20"/>
          <w:szCs w:val="20"/>
          <w:lang w:val="en-GB"/>
        </w:rPr>
        <w:fldChar w:fldCharType="end"/>
      </w:r>
      <w:r>
        <w:rPr>
          <w:rFonts w:eastAsia="Cambria"/>
          <w:color w:val="000000"/>
          <w:sz w:val="20"/>
          <w:szCs w:val="20"/>
          <w:lang w:val="en-GB"/>
        </w:rPr>
        <w:t>.</w:t>
      </w:r>
    </w:p>
    <w:p w14:paraId="716F7F91" w14:textId="77777777" w:rsidR="002F2D25" w:rsidRDefault="002F2D25">
      <w:pPr>
        <w:pStyle w:val="NormalWeb"/>
        <w:spacing w:before="0" w:beforeAutospacing="0" w:after="0" w:afterAutospacing="0" w:line="276" w:lineRule="auto"/>
        <w:jc w:val="both"/>
        <w:rPr>
          <w:rFonts w:eastAsia="Cambria"/>
          <w:color w:val="000000"/>
          <w:sz w:val="20"/>
          <w:szCs w:val="20"/>
          <w:lang w:val="en-GB"/>
        </w:rPr>
      </w:pPr>
    </w:p>
    <w:p w14:paraId="5D7DC9F2" w14:textId="77777777" w:rsidR="002F2D25" w:rsidRDefault="00000000">
      <w:pPr>
        <w:pStyle w:val="NormalWeb"/>
        <w:spacing w:before="0" w:beforeAutospacing="0" w:after="0" w:afterAutospacing="0" w:line="276" w:lineRule="auto"/>
        <w:jc w:val="both"/>
        <w:rPr>
          <w:rFonts w:eastAsia="Cambria"/>
          <w:color w:val="000000"/>
          <w:sz w:val="20"/>
          <w:szCs w:val="20"/>
          <w:lang w:val="fi-FI"/>
        </w:rPr>
      </w:pPr>
      <w:r>
        <w:rPr>
          <w:rFonts w:eastAsia="Cambria"/>
          <w:color w:val="000000"/>
          <w:sz w:val="20"/>
          <w:szCs w:val="20"/>
          <w:lang w:val="en-GB"/>
        </w:rPr>
        <w:t xml:space="preserve">Daun teh merupakan bagian tanaman yang umum digunakan sebagai bahan baku minuman teh, yang berasal dari kawasan Asia Timur, khususnya wilayah perbatasan antara Myanmar bagian utara dan Provinsi Yunnan di Tiongkok. Secara global, teh dikenal sebagai salah satu minuman paling populer setelah air putih </w:t>
      </w:r>
      <w:r>
        <w:rPr>
          <w:rFonts w:eastAsia="Cambria"/>
          <w:color w:val="000000"/>
          <w:sz w:val="20"/>
          <w:szCs w:val="20"/>
          <w:lang w:val="en-GB"/>
        </w:rPr>
        <w:fldChar w:fldCharType="begin" w:fldLock="1"/>
      </w:r>
      <w:r>
        <w:rPr>
          <w:rFonts w:eastAsia="Cambria"/>
          <w:color w:val="000000"/>
          <w:sz w:val="20"/>
          <w:szCs w:val="20"/>
          <w:lang w:val="en-GB"/>
        </w:rPr>
        <w:instrText>ADDIN CSL_CITATION {"citationItems":[{"id":"ITEM-1","itemData":{"DOI":"10.3390/nu12041045","ISSN":"2072-6643","abstract":"Late-onset sepsis (LOS) and other systemic bloodstream infections are notable causes of neonatal mortality, particularly in prematurely born very low birth weight infants. Breastfeeding in early life has numerous health benefits, impacting the health of the newborn in both the short-term and in the long-term. Though the known benefits of an exclusive mother’s own milk diet in early life have been well recognized and described, it is less understood how breastfed infants enjoy a potential reduction in risk of LOS and other systemic infections. Here we review how gut residing pathogens within the intestinal microbiota of infants can cause a subset of sepsis cases and the components of breastmilk that may prevent the dissemination of pathogens from the intestine.","author":[{"dropping-particle":"","family":"Kleist","given":"Sierra A.","non-dropping-particle":"","parse-names":false,"suffix":""},{"dropping-particle":"","family":"Knoop","given":"Kathryn A.","non-dropping-particle":"","parse-names":false,"suffix":""}],"container-title":"Nutrients","id":"ITEM-1","issue":"4","issued":{"date-parts":[["2020","4","10"]]},"page":"1045","title":"Understanding the Elements of Maternal Protection from Systemic Bacterial Infections during Early Life","type":"article-journal","volume":"12"},"uris":["http://www.mendeley.com/documents/?uuid=cd1d3e9a-4d51-4b91-b3f2-ccd4ee2d4847"]}],"mendeley":{"formattedCitation":"[5]","plainTextFormattedCitation":"[5]","previouslyFormattedCitation":"[5]"},"properties":{"noteIndex":0},"schema":"https://github.com/citation-style-language/schema/raw/master/csl-citation.json"}</w:instrText>
      </w:r>
      <w:r>
        <w:rPr>
          <w:rFonts w:eastAsia="Cambria"/>
          <w:color w:val="000000"/>
          <w:sz w:val="20"/>
          <w:szCs w:val="20"/>
          <w:lang w:val="en-GB"/>
        </w:rPr>
        <w:fldChar w:fldCharType="separate"/>
      </w:r>
      <w:r>
        <w:rPr>
          <w:rFonts w:eastAsia="Cambria"/>
          <w:color w:val="000000"/>
          <w:sz w:val="20"/>
          <w:szCs w:val="20"/>
          <w:lang w:val="en-GB"/>
        </w:rPr>
        <w:t>[5]</w:t>
      </w:r>
      <w:r>
        <w:rPr>
          <w:rFonts w:eastAsia="Cambria"/>
          <w:color w:val="000000"/>
          <w:sz w:val="20"/>
          <w:szCs w:val="20"/>
          <w:lang w:val="en-GB"/>
        </w:rPr>
        <w:fldChar w:fldCharType="end"/>
      </w:r>
      <w:r>
        <w:rPr>
          <w:rFonts w:eastAsia="Cambria"/>
          <w:color w:val="000000"/>
          <w:sz w:val="20"/>
          <w:szCs w:val="20"/>
          <w:lang w:val="en-GB"/>
        </w:rPr>
        <w:t xml:space="preserve">. </w:t>
      </w:r>
      <w:r>
        <w:rPr>
          <w:rFonts w:eastAsia="Cambria"/>
          <w:color w:val="000000"/>
          <w:sz w:val="20"/>
          <w:szCs w:val="20"/>
          <w:lang w:val="fi-FI"/>
        </w:rPr>
        <w:t xml:space="preserve">Selain itu, daun teh juga memiliki berbagai manfaat kesehatan, antara lain sebagai antioksidan, antikolesterol, antikanker, antidiabetes, serta memiliki aktivitas antiinflamasi </w:t>
      </w:r>
      <w:r>
        <w:rPr>
          <w:rFonts w:eastAsia="Cambria"/>
          <w:color w:val="000000"/>
          <w:sz w:val="20"/>
          <w:szCs w:val="20"/>
          <w:lang w:val="fi-FI"/>
        </w:rPr>
        <w:fldChar w:fldCharType="begin" w:fldLock="1"/>
      </w:r>
      <w:r>
        <w:rPr>
          <w:rFonts w:eastAsia="Cambria"/>
          <w:color w:val="000000"/>
          <w:sz w:val="20"/>
          <w:szCs w:val="20"/>
          <w:lang w:val="fi-FI"/>
        </w:rPr>
        <w:instrText>ADDIN CSL_CITATION {"citationItems":[{"id":"ITEM-1","itemData":{"DOI":"10.3390/ijms21051744","ISSN":"1422-0067","abstract":"Green tea (Camellia sinesis) is widely known for its anticancer and anti-inflammatory properties. Among the biologically active compounds contained in Camellia sinesis, the main antioxidant agents are catechins. Recent scientific research indicates that the number of hydroxyl groups and the presence of characteristic structural groups have a major impact on the antioxidant activity of catechins. The best source of these compounds is unfermented green tea. Depending on the type and origin of green tea leaves, their antioxidant properties may be uneven. Catechins exhibit the strong property of neutralizing reactive oxygen and nitrogen species. The group of green tea catechin derivatives includes: epicatechin, epigallocatechin, epicatechin gallate and epigallocatechin gallate. The last of these presents the most potent anti-inflammatory and anticancer potential. Notably, green tea catechins are widely described to be efficient in the prevention of lung cancer, breast cancer, esophageal cancer, stomach cancer, liver cancer and prostate cancer. The current review aims to summarize the potential anticancer effects and molecular signaling pathways of major green tea catechins. It needs to be clearly emphasized that green tea as well as green tea catechols cannot replace the standard chemotherapy. Nonetheless, their beneficial effects may support the standard anticancer approach.","author":[{"dropping-particle":"","family":"Musial","given":"Claudia","non-dropping-particle":"","parse-names":false,"suffix":""},{"dropping-particle":"","family":"Kuban-Jankowska","given":"Alicja","non-dropping-particle":"","parse-names":false,"suffix":""},{"dropping-particle":"","family":"Gorska-Ponikowska","given":"Magdalena","non-dropping-particle":"","parse-names":false,"suffix":""}],"container-title":"International Journal of Molecular Sciences","id":"ITEM-1","issue":"5","issued":{"date-parts":[["2020","3","4"]]},"page":"1744","title":"Beneficial Properties of Green Tea Catechins","type":"article-journal","volume":"21"},"uris":["http://www.mendeley.com/documents/?uuid=ff85cd50-b1f5-404f-a7b4-1de2aa2dcad1"]}],"mendeley":{"formattedCitation":"[6]","plainTextFormattedCitation":"[6]","previouslyFormattedCitation":"[6]"},"properties":{"noteIndex":0},"schema":"https://github.com/citation-style-language/schema/raw/master/csl-citation.json"}</w:instrText>
      </w:r>
      <w:r>
        <w:rPr>
          <w:rFonts w:eastAsia="Cambria"/>
          <w:color w:val="000000"/>
          <w:sz w:val="20"/>
          <w:szCs w:val="20"/>
          <w:lang w:val="fi-FI"/>
        </w:rPr>
        <w:fldChar w:fldCharType="separate"/>
      </w:r>
      <w:r>
        <w:rPr>
          <w:rFonts w:eastAsia="Cambria"/>
          <w:color w:val="000000"/>
          <w:sz w:val="20"/>
          <w:szCs w:val="20"/>
          <w:lang w:val="fi-FI"/>
        </w:rPr>
        <w:t>[6]</w:t>
      </w:r>
      <w:r>
        <w:rPr>
          <w:rFonts w:eastAsia="Cambria"/>
          <w:color w:val="000000"/>
          <w:sz w:val="20"/>
          <w:szCs w:val="20"/>
          <w:lang w:val="fi-FI"/>
        </w:rPr>
        <w:fldChar w:fldCharType="end"/>
      </w:r>
      <w:r>
        <w:rPr>
          <w:rFonts w:eastAsia="Cambria"/>
          <w:color w:val="000000"/>
          <w:sz w:val="20"/>
          <w:szCs w:val="20"/>
          <w:lang w:val="fi-FI"/>
        </w:rPr>
        <w:t xml:space="preserve">. Salah satu varietas yang banyak dikonsumsi adalah teh hijau, yang dikenal luas karena kandungan bioaktifnya. Teh hijau mengandung polifenol yang berperan dalam menghambat proses inflamasi, melindungi sel dari kerusakan oksidatif, serta menurunkan risiko penyakit kronis seperti diabetes dan penyakit kardiovaskular. Selain itu, kandungan kafein dalam teh hijau juga diketahui dapat meningkatkan performa fisik dan kognitif </w:t>
      </w:r>
      <w:r>
        <w:rPr>
          <w:rFonts w:eastAsia="Cambria"/>
          <w:color w:val="000000"/>
          <w:sz w:val="20"/>
          <w:szCs w:val="20"/>
          <w:lang w:val="fi-FI"/>
        </w:rPr>
        <w:fldChar w:fldCharType="begin" w:fldLock="1"/>
      </w:r>
      <w:r>
        <w:rPr>
          <w:rFonts w:eastAsia="Cambria"/>
          <w:color w:val="000000"/>
          <w:sz w:val="20"/>
          <w:szCs w:val="20"/>
          <w:lang w:val="fi-FI"/>
        </w:rPr>
        <w:instrText>ADDIN CSL_CITATION {"citationItems":[{"id":"ITEM-1","itemData":{"DOI":"10.3390/molecules26010085","ISSN":"1420-3049","abstract":"Japanese matcha is a type of powdered green tea, grown in a traditional way. Shading of the plants during the growth period enhances the processes of synthesis and accumulation of biologically active compounds, including theanine, caffeine, chlorophyll and various types of catechins. Green tea contains four main catechins, i.e., (−)-epicatechin (EC), (−)-epicatechin-3-gallate (ECG), (−)-epigallocatechin (EGC) and (−)-epigallocatechin-3-gallate (EGCG), of which the latter is the most active and abundant and matcha is their best condensed source. Due to its unique chemical composition and prized flavour, which sets it apart from other tea beverages, it is considered the highest quality tea. Its health-promoting properties are attributed to the high content of antioxidant and anti-inflammatory substances. Studies confirming the high antioxidant potential of tea beverages claim that it originates from the considerable content of catechins, a type of phenolic compound with beneficial effects on human health. Due to its potential for preventing many diseases and supporting cognitive function, regular consumption of matcha may have a positive effect on both physical and mental health. The aim of this review was to compile the health benefits of matcha tea. It is the first such review to be undertaken, and presents its main bioactive compounds in a systematic manner.","author":[{"dropping-particle":"","family":"Kochman","given":"Joanna","non-dropping-particle":"","parse-names":false,"suffix":""},{"dropping-particle":"","family":"Jakubczyk","given":"Karolina","non-dropping-particle":"","parse-names":false,"suffix":""},{"dropping-particle":"","family":"Antoniewicz","given":"Justyna","non-dropping-particle":"","parse-names":false,"suffix":""},{"dropping-particle":"","family":"Mruk","given":"Honorata","non-dropping-particle":"","parse-names":false,"suffix":""},{"dropping-particle":"","family":"Janda","given":"Katarzyna","non-dropping-particle":"","parse-names":false,"suffix":""}],"container-title":"Molecules","id":"ITEM-1","issue":"1","issued":{"date-parts":[["2020","12","27"]]},"page":"85","title":"Health Benefits and Chemical Composition of Matcha Green Tea: A Review","type":"article-journal","volume":"26"},"uris":["http://www.mendeley.com/documents/?uuid=e876a6c0-7858-4764-af3a-417ee3a7a7e0"]}],"mendeley":{"formattedCitation":"[7]","plainTextFormattedCitation":"[7]","previouslyFormattedCitation":"[7]"},"properties":{"noteIndex":0},"schema":"https://github.com/citation-style-language/schema/raw/master/csl-citation.json"}</w:instrText>
      </w:r>
      <w:r>
        <w:rPr>
          <w:rFonts w:eastAsia="Cambria"/>
          <w:color w:val="000000"/>
          <w:sz w:val="20"/>
          <w:szCs w:val="20"/>
          <w:lang w:val="fi-FI"/>
        </w:rPr>
        <w:fldChar w:fldCharType="separate"/>
      </w:r>
      <w:r>
        <w:rPr>
          <w:rFonts w:eastAsia="Cambria"/>
          <w:color w:val="000000"/>
          <w:sz w:val="20"/>
          <w:szCs w:val="20"/>
          <w:lang w:val="fi-FI"/>
        </w:rPr>
        <w:t>[7]</w:t>
      </w:r>
      <w:r>
        <w:rPr>
          <w:rFonts w:eastAsia="Cambria"/>
          <w:color w:val="000000"/>
          <w:sz w:val="20"/>
          <w:szCs w:val="20"/>
          <w:lang w:val="fi-FI"/>
        </w:rPr>
        <w:fldChar w:fldCharType="end"/>
      </w:r>
      <w:r>
        <w:rPr>
          <w:rFonts w:eastAsia="Cambria"/>
          <w:color w:val="000000"/>
          <w:sz w:val="20"/>
          <w:szCs w:val="20"/>
          <w:lang w:val="fi-FI"/>
        </w:rPr>
        <w:t>.</w:t>
      </w:r>
    </w:p>
    <w:p w14:paraId="3DB934E3" w14:textId="77777777" w:rsidR="002F2D25" w:rsidRDefault="002F2D25">
      <w:pPr>
        <w:pStyle w:val="NormalWeb"/>
        <w:spacing w:before="0" w:beforeAutospacing="0" w:after="0" w:afterAutospacing="0" w:line="276" w:lineRule="auto"/>
        <w:jc w:val="both"/>
        <w:rPr>
          <w:rFonts w:eastAsia="Cambria"/>
          <w:color w:val="000000"/>
          <w:sz w:val="20"/>
          <w:szCs w:val="20"/>
          <w:lang w:val="fi-FI"/>
        </w:rPr>
      </w:pPr>
    </w:p>
    <w:p w14:paraId="052EB87E" w14:textId="77777777" w:rsidR="002F2D25" w:rsidRDefault="00000000">
      <w:pPr>
        <w:pStyle w:val="NormalWeb"/>
        <w:spacing w:before="0" w:beforeAutospacing="0" w:after="0" w:afterAutospacing="0" w:line="276" w:lineRule="auto"/>
        <w:jc w:val="both"/>
        <w:rPr>
          <w:rFonts w:eastAsia="Cambria"/>
          <w:color w:val="000000"/>
          <w:sz w:val="20"/>
          <w:szCs w:val="20"/>
          <w:lang w:val="zh-CN"/>
        </w:rPr>
      </w:pPr>
      <w:r>
        <w:rPr>
          <w:rFonts w:eastAsia="Cambria"/>
          <w:color w:val="000000"/>
          <w:sz w:val="20"/>
          <w:szCs w:val="20"/>
          <w:lang w:val="fi-FI"/>
        </w:rPr>
        <w:t xml:space="preserve">Berdasarkan penelitian Maidina Putri </w:t>
      </w:r>
      <w:r>
        <w:rPr>
          <w:rFonts w:eastAsia="Cambria"/>
          <w:i/>
          <w:iCs/>
          <w:color w:val="000000"/>
          <w:sz w:val="20"/>
          <w:szCs w:val="20"/>
          <w:lang w:val="fi-FI"/>
        </w:rPr>
        <w:t>et al.</w:t>
      </w:r>
      <w:r>
        <w:rPr>
          <w:rFonts w:eastAsia="Cambria"/>
          <w:color w:val="000000"/>
          <w:sz w:val="20"/>
          <w:szCs w:val="20"/>
          <w:lang w:val="fi-FI"/>
        </w:rPr>
        <w:t xml:space="preserve"> (2025) melaporkan bahwa formulasi krim tabir surya yang mengandung ekstrak </w:t>
      </w:r>
      <w:r>
        <w:rPr>
          <w:rFonts w:eastAsia="Cambria"/>
          <w:i/>
          <w:iCs/>
          <w:color w:val="000000"/>
          <w:sz w:val="20"/>
          <w:szCs w:val="20"/>
          <w:lang w:val="fi-FI"/>
        </w:rPr>
        <w:t>Camellia sinensis</w:t>
      </w:r>
      <w:r>
        <w:rPr>
          <w:rFonts w:eastAsia="Cambria"/>
          <w:color w:val="000000"/>
          <w:sz w:val="20"/>
          <w:szCs w:val="20"/>
          <w:lang w:val="fi-FI"/>
        </w:rPr>
        <w:t xml:space="preserve"> pada konsentrasi 5%, 10%, dan 15% menunjukkan peningkatan nilai SPF masing-masing sebesar 8,21; 12,45; dan 18,67. </w:t>
      </w:r>
      <w:r>
        <w:rPr>
          <w:rFonts w:eastAsia="Cambria"/>
          <w:color w:val="000000"/>
          <w:sz w:val="20"/>
          <w:szCs w:val="20"/>
          <w:lang w:val="zh-CN"/>
        </w:rPr>
        <w:t xml:space="preserve">Selain itu, seluruh formulasi memenuhi parameter stabilitas fisik yang berada dalam rentang aman untuk kulit </w:t>
      </w:r>
      <w:r>
        <w:rPr>
          <w:rFonts w:eastAsia="Cambria"/>
          <w:color w:val="000000"/>
          <w:sz w:val="20"/>
          <w:szCs w:val="20"/>
          <w:lang w:val="zh-CN"/>
        </w:rPr>
        <w:fldChar w:fldCharType="begin" w:fldLock="1"/>
      </w:r>
      <w:r>
        <w:rPr>
          <w:rFonts w:eastAsia="Cambria"/>
          <w:color w:val="000000"/>
          <w:sz w:val="20"/>
          <w:szCs w:val="20"/>
          <w:lang w:val="zh-CN"/>
        </w:rPr>
        <w:instrText>ADDIN CSL_CITATION {"citationItems":[{"id":"ITEM-1","itemData":{"DOI":"10.59585/ijhs.v3i3.794","ISSN":"2987-0836","abstract":"Green tea (Camellia sinensis) is known to contain polyphenol compounds, especially catechins, which act as antioxidants and photoprotectors against ultraviolet (UV) radiation. This study aims to formulate a sunscreen cream from green tea extract and test its Sun Protection Factor (SPF) value in vitro using a UV-Vis spectrophotometer. The research methods include green tea leaf extraction by 70% ethanol maceration, cream formulation in three extract concentrations (5%, 10%, and 15%), and SPF testing using the Mansur method. The results showed that increasing the concentration of green tea extract was directly proportional to the increase in SPF value, where a concentration of 15% had an SPF value of 27.4 which is classified as very high protection. The cream formulation also met the organoleptic, pH, homogeneity, and stability test parameters. In conclusion, green tea extract can be formulated into an effective sunscreen cream with a high SPF value.","author":[{"dropping-particle":"","family":"Putri","given":"Maidina","non-dropping-particle":"","parse-names":false,"suffix":""},{"dropping-particle":"","family":"Hariati","given":"Andi","non-dropping-particle":"","parse-names":false,"suffix":""},{"dropping-particle":"","family":"Basir","given":"Anastasia A.","non-dropping-particle":"","parse-names":false,"suffix":""}],"container-title":"International Journal of Health Sciences","id":"ITEM-1","issue":"3","issued":{"date-parts":[["2025","7","20"]]},"page":"522-530","title":"Sunscreen Cream Formulation from Green Tea Extract (Camellia sinensis) and SPF Value Test","type":"article-journal","volume":"3"},"uris":["http://www.mendeley.com/documents/?uuid=f6cc97db-c10a-4e35-bc47-2cca2d53b544"]}],"mendeley":{"formattedCitation":"[8]","plainTextFormattedCitation":"[8]","previouslyFormattedCitation":"[8]"},"properties":{"noteIndex":0},"schema":"https://github.com/citation-style-language/schema/raw/master/csl-citation.json"}</w:instrText>
      </w:r>
      <w:r>
        <w:rPr>
          <w:rFonts w:eastAsia="Cambria"/>
          <w:color w:val="000000"/>
          <w:sz w:val="20"/>
          <w:szCs w:val="20"/>
          <w:lang w:val="zh-CN"/>
        </w:rPr>
        <w:fldChar w:fldCharType="separate"/>
      </w:r>
      <w:r>
        <w:rPr>
          <w:rFonts w:eastAsia="Cambria"/>
          <w:color w:val="000000"/>
          <w:sz w:val="20"/>
          <w:szCs w:val="20"/>
          <w:lang w:val="zh-CN"/>
        </w:rPr>
        <w:t>[8]</w:t>
      </w:r>
      <w:r>
        <w:rPr>
          <w:rFonts w:eastAsia="Cambria"/>
          <w:color w:val="000000"/>
          <w:sz w:val="20"/>
          <w:szCs w:val="20"/>
          <w:lang w:val="zh-CN"/>
        </w:rPr>
        <w:fldChar w:fldCharType="end"/>
      </w:r>
      <w:r>
        <w:rPr>
          <w:rFonts w:eastAsia="Cambria"/>
          <w:color w:val="000000"/>
          <w:sz w:val="20"/>
          <w:szCs w:val="20"/>
          <w:lang w:val="zh-CN"/>
        </w:rPr>
        <w:t xml:space="preserve">. Firmansyah </w:t>
      </w:r>
      <w:r>
        <w:rPr>
          <w:rFonts w:eastAsia="Cambria"/>
          <w:i/>
          <w:iCs/>
          <w:color w:val="000000"/>
          <w:sz w:val="20"/>
          <w:szCs w:val="20"/>
          <w:lang w:val="zh-CN"/>
        </w:rPr>
        <w:t>et al</w:t>
      </w:r>
      <w:r>
        <w:rPr>
          <w:rFonts w:eastAsia="Cambria"/>
          <w:color w:val="000000"/>
          <w:sz w:val="20"/>
          <w:szCs w:val="20"/>
          <w:lang w:val="zh-CN"/>
        </w:rPr>
        <w:t xml:space="preserve"> (2020) juga menunjukkan melaporkan bahwa penggunaan ekstrak daun teh hitam dengan konsentrasi 2% dalam pelarut etanol menghasilkan kualitas fisik gel yang baik berdasarkan uji adhesi, homogenitas, proteksi, serta evaluasi organoleptik, meskipun parameter pH dan viskositas belum memenuhi standar </w:t>
      </w:r>
      <w:r>
        <w:rPr>
          <w:rFonts w:eastAsia="Cambria"/>
          <w:color w:val="000000"/>
          <w:sz w:val="20"/>
          <w:szCs w:val="20"/>
          <w:lang w:val="zh-CN"/>
        </w:rPr>
        <w:fldChar w:fldCharType="begin" w:fldLock="1"/>
      </w:r>
      <w:r>
        <w:rPr>
          <w:rFonts w:eastAsia="Cambria"/>
          <w:color w:val="000000"/>
          <w:sz w:val="20"/>
          <w:szCs w:val="20"/>
          <w:lang w:val="zh-CN"/>
        </w:rPr>
        <w:instrText>ADDIN CSL_CITATION {"citationItems":[{"id":"ITEM-1","itemData":{"author":[{"dropping-particle":"","family":"Firmansyah","given":"","non-dropping-particle":"","parse-names":false,"suffix":""},{"dropping-particle":"","family":"Sandistira","given":"Amelia","non-dropping-particle":"","parse-names":false,"suffix":""}],"container-title":"Jurnal Kesehatan Yamasi Makasar","id":"ITEM-1","issue":"1","issued":{"date-parts":[["2020"]]},"page":"98-110","title":"Jurnal Kesehatan Yamasi Makassar","type":"article-journal","volume":"4"},"uris":["http://www.mendeley.com/documents/?uuid=73dc7ad2-04f2-4e2a-89d5-a82881b43e95"]}],"mendeley":{"formattedCitation":"[9]","plainTextFormattedCitation":"[9]","previouslyFormattedCitation":"[9]"},"properties":{"noteIndex":0},"schema":"https://github.com/citation-style-language/schema/raw/master/csl-citation.json"}</w:instrText>
      </w:r>
      <w:r>
        <w:rPr>
          <w:rFonts w:eastAsia="Cambria"/>
          <w:color w:val="000000"/>
          <w:sz w:val="20"/>
          <w:szCs w:val="20"/>
          <w:lang w:val="zh-CN"/>
        </w:rPr>
        <w:fldChar w:fldCharType="separate"/>
      </w:r>
      <w:r>
        <w:rPr>
          <w:rFonts w:eastAsia="Cambria"/>
          <w:color w:val="000000"/>
          <w:sz w:val="20"/>
          <w:szCs w:val="20"/>
          <w:lang w:val="zh-CN"/>
        </w:rPr>
        <w:t>[9]</w:t>
      </w:r>
      <w:r>
        <w:rPr>
          <w:rFonts w:eastAsia="Cambria"/>
          <w:color w:val="000000"/>
          <w:sz w:val="20"/>
          <w:szCs w:val="20"/>
          <w:lang w:val="zh-CN"/>
        </w:rPr>
        <w:fldChar w:fldCharType="end"/>
      </w:r>
      <w:r>
        <w:rPr>
          <w:rFonts w:eastAsia="Cambria"/>
          <w:color w:val="000000"/>
          <w:sz w:val="20"/>
          <w:szCs w:val="20"/>
          <w:lang w:val="zh-CN"/>
        </w:rPr>
        <w:t xml:space="preserve">. Selain itu, Prematellie (2019) melaporkan bahwa aktivitas antioksidan ekstrak daun teh hijau memiliki nilai IC50 sebesar 58,61 µg/mL, yang lebih kuat dibandingkan dengan teh putih (74,75 µg/mL) dan teh hitam (137,60 µg/mL), yang menunjukkan potensi antioksidan yang lebih baik </w:t>
      </w:r>
      <w:r>
        <w:rPr>
          <w:rFonts w:eastAsia="Cambria"/>
          <w:color w:val="000000"/>
          <w:sz w:val="20"/>
          <w:szCs w:val="20"/>
          <w:lang w:val="zh-CN"/>
        </w:rPr>
        <w:fldChar w:fldCharType="begin" w:fldLock="1"/>
      </w:r>
      <w:r>
        <w:rPr>
          <w:rFonts w:eastAsia="Cambria"/>
          <w:color w:val="000000"/>
          <w:sz w:val="20"/>
          <w:szCs w:val="20"/>
          <w:lang w:val="zh-CN"/>
        </w:rPr>
        <w:instrText>ADDIN CSL_CITATION {"citationItems":[{"id":"ITEM-1","itemData":{"abstract":"Teh merupakan salah satu minuman yang sangat sering dikonsumsi di seluruh dunia. Teh berasal dari tanaman Camellia sinensis dan dapat dibagi dalam beberapa kelompok, seperti teh hijau, teh hitam dan the putih. Perbedaan ketiga teh tersebut adalah dari cara pemerosesannya. Salah satu senyawa pada daun teh yang memiliki efek antioksidan adalah EGCG (epigallocatechin-3-gallate). Tujuan dari penelitian ini untuk mengetahui kandungan metabolit sekunder dan efek antioksidan pada daun teh hijau, hitam dan putih. Penilaian kandungan metabolit sekunder dilakukan dengan uji fitokimia sedangkan untuk mengetahui aktivitas antioksidan dilakukan dengan metode DPPH (2,2-Difenil-1- Pikrilhidrazil). Berdasarkan penelitian yang dilakukan senyawa metabolit sekunder terbanyak pada sampel segar dan ekstrak dengan pelarut metanol adalah golongan steroid dan fenolik. Aktivitas antioksidan dilihat dari nilai IC 50 (half maximal inhibitory concentration) pada setiap sampel uji. Berdasarkan hasil penelitian nilai IC 50 pada daun teh hijau sebesar 58,61 μg/ml, daun teh putih 74,75 μg/ml dan yang terendah adalah daun teh hitam sebesar 137,60 μg/ml, sehingga dapat disimpulkan bahwa sampel yang memiliki efek antioksidan terkuat adalah daun teh hijau. Kata","author":[{"dropping-particle":"","family":"Leslie","given":"Prematellie Jaya","non-dropping-particle":"","parse-names":false,"suffix":""},{"dropping-particle":"","family":"Gunawan","given":"Shirly","non-dropping-particle":"","parse-names":false,"suffix":""}],"container-title":"Tarumanagara Medical Journal","id":"ITEM-1","issue":"2","issued":{"date-parts":[["2019"]]},"page":"383-388","title":"Uji Fitokimia Dan Perbandingan Efek Antioksidan Pada Daun Teh Hijau , Teh Hitam , Dan Teh Putih ( Camellia sinensis ) Dengan Metode DPPH ( 2 , 2-difenil-1- pikrilhidrazil )","type":"article-journal","volume":"1"},"uris":["http://www.mendeley.com/documents/?uuid=9c96c5c7-2d6a-4dd6-910a-98234002b145"]}],"mendeley":{"formattedCitation":"[10]","plainTextFormattedCitation":"[10]","previouslyFormattedCitation":"[10]"},"properties":{"noteIndex":0},"schema":"https://github.com/citation-style-language/schema/raw/master/csl-citation.json"}</w:instrText>
      </w:r>
      <w:r>
        <w:rPr>
          <w:rFonts w:eastAsia="Cambria"/>
          <w:color w:val="000000"/>
          <w:sz w:val="20"/>
          <w:szCs w:val="20"/>
          <w:lang w:val="zh-CN"/>
        </w:rPr>
        <w:fldChar w:fldCharType="separate"/>
      </w:r>
      <w:r>
        <w:rPr>
          <w:rFonts w:eastAsia="Cambria"/>
          <w:color w:val="000000"/>
          <w:sz w:val="20"/>
          <w:szCs w:val="20"/>
          <w:lang w:val="zh-CN"/>
        </w:rPr>
        <w:t>[10]</w:t>
      </w:r>
      <w:r>
        <w:rPr>
          <w:rFonts w:eastAsia="Cambria"/>
          <w:color w:val="000000"/>
          <w:sz w:val="20"/>
          <w:szCs w:val="20"/>
          <w:lang w:val="zh-CN"/>
        </w:rPr>
        <w:fldChar w:fldCharType="end"/>
      </w:r>
      <w:r>
        <w:rPr>
          <w:rFonts w:eastAsia="Cambria"/>
          <w:color w:val="000000"/>
          <w:sz w:val="20"/>
          <w:szCs w:val="20"/>
          <w:lang w:val="zh-CN"/>
        </w:rPr>
        <w:t>.</w:t>
      </w:r>
    </w:p>
    <w:p w14:paraId="6C686CF2" w14:textId="77777777" w:rsidR="002F2D25" w:rsidRDefault="002F2D25">
      <w:pPr>
        <w:pStyle w:val="NormalWeb"/>
        <w:spacing w:before="0" w:beforeAutospacing="0" w:after="0" w:afterAutospacing="0" w:line="276" w:lineRule="auto"/>
        <w:jc w:val="both"/>
        <w:rPr>
          <w:color w:val="000000"/>
          <w:sz w:val="20"/>
          <w:szCs w:val="20"/>
          <w:lang w:val="zh-CN"/>
        </w:rPr>
      </w:pPr>
    </w:p>
    <w:p w14:paraId="7D288270" w14:textId="77777777" w:rsidR="002F2D25" w:rsidRDefault="00000000">
      <w:pPr>
        <w:pStyle w:val="NormalWeb"/>
        <w:spacing w:before="0" w:beforeAutospacing="0" w:after="0" w:afterAutospacing="0" w:line="276" w:lineRule="auto"/>
        <w:jc w:val="both"/>
        <w:rPr>
          <w:rFonts w:eastAsia="Cambria"/>
          <w:color w:val="000000"/>
          <w:sz w:val="20"/>
          <w:szCs w:val="20"/>
          <w:lang w:val="fi-FI"/>
        </w:rPr>
      </w:pPr>
      <w:r>
        <w:rPr>
          <w:rFonts w:eastAsia="Cambria"/>
          <w:color w:val="000000"/>
          <w:sz w:val="20"/>
          <w:szCs w:val="20"/>
          <w:lang w:val="zh-CN"/>
        </w:rPr>
        <w:t xml:space="preserve">Antioksidan berperan penting dalam mencegah kerusakan oksidatif pada kulit dan memperlambat proses penuaan dini. Berbagai produk kosmetik yang mengandung antioksidan telah tersedia di pasaran, seperti losion dan krim. </w:t>
      </w:r>
      <w:r>
        <w:rPr>
          <w:rFonts w:eastAsia="Cambria"/>
          <w:color w:val="000000"/>
          <w:sz w:val="20"/>
          <w:szCs w:val="20"/>
          <w:lang w:val="fi-FI"/>
        </w:rPr>
        <w:t xml:space="preserve">Akan tetapi, karakteristik sediaan tersebut yang cenderung lengket seringkali menimbulkan ketidaknyamanan pada pengguna </w:t>
      </w:r>
      <w:r>
        <w:rPr>
          <w:rFonts w:eastAsia="Cambria"/>
          <w:color w:val="000000"/>
          <w:sz w:val="20"/>
          <w:szCs w:val="20"/>
          <w:lang w:val="fi-FI"/>
        </w:rPr>
        <w:fldChar w:fldCharType="begin" w:fldLock="1"/>
      </w:r>
      <w:r>
        <w:rPr>
          <w:rFonts w:eastAsia="Cambria"/>
          <w:color w:val="000000"/>
          <w:sz w:val="20"/>
          <w:szCs w:val="20"/>
          <w:lang w:val="fi-FI"/>
        </w:rPr>
        <w:instrText>ADDIN CSL_CITATION {"citationItems":[{"id":"ITEM-1","itemData":{"DOI":"10.1111/jocd.14180","ISSN":"1473-2130","author":[{"dropping-particle":"","family":"Luo","given":"Zhen","non-dropping-particle":"","parse-names":false,"suffix":""},{"dropping-particle":"","family":"Zhang","given":"Xuewu","non-dropping-particle":"","parse-names":false,"suffix":""}],"container-title":"Journal of Cosmetic Dermatology","id":"ITEM-1","issue":"3","issued":{"date-parts":[["2022","3"]]},"page":"1178-1184","title":"Brassica oleracea extract, glucosinlates, and sulforaphane promote hair growth in vitro and ex vivo","type":"article-journal","volume":"21"},"uris":["http://www.mendeley.com/documents/?uuid=b408e062-006b-4d66-801d-f35cefdee6ee"]}],"mendeley":{"formattedCitation":"[11]","plainTextFormattedCitation":"[11]","previouslyFormattedCitation":"[11]"},"properties":{"noteIndex":0},"schema":"https://github.com/citation-style-language/schema/raw/master/csl-citation.json"}</w:instrText>
      </w:r>
      <w:r>
        <w:rPr>
          <w:rFonts w:eastAsia="Cambria"/>
          <w:color w:val="000000"/>
          <w:sz w:val="20"/>
          <w:szCs w:val="20"/>
          <w:lang w:val="fi-FI"/>
        </w:rPr>
        <w:fldChar w:fldCharType="separate"/>
      </w:r>
      <w:r>
        <w:rPr>
          <w:rFonts w:eastAsia="Cambria"/>
          <w:color w:val="000000"/>
          <w:sz w:val="20"/>
          <w:szCs w:val="20"/>
          <w:lang w:val="fi-FI"/>
        </w:rPr>
        <w:t>[11]</w:t>
      </w:r>
      <w:r>
        <w:rPr>
          <w:rFonts w:eastAsia="Cambria"/>
          <w:color w:val="000000"/>
          <w:sz w:val="20"/>
          <w:szCs w:val="20"/>
          <w:lang w:val="fi-FI"/>
        </w:rPr>
        <w:fldChar w:fldCharType="end"/>
      </w:r>
      <w:r>
        <w:rPr>
          <w:rFonts w:eastAsia="Cambria"/>
          <w:color w:val="000000"/>
          <w:sz w:val="20"/>
          <w:szCs w:val="20"/>
          <w:lang w:val="fi-FI"/>
        </w:rPr>
        <w:t xml:space="preserve">. Oleh karena itu, dikembangkan alternatif dalam bentuk gel, termasuk gel tabir surya, yang lebih nyaman dan mudah diaplikasikan. Keunggulan formulasi gel antara lain kandungan air yang tinggi sehingga memberikan efek mendinginkan dan melembapkan, serta kemampuan penetrasi yang baik ke dalam kulit yang dapat mendukung proses perbaikan jaringan </w:t>
      </w:r>
      <w:r>
        <w:rPr>
          <w:rFonts w:eastAsia="Cambria"/>
          <w:color w:val="000000"/>
          <w:sz w:val="20"/>
          <w:szCs w:val="20"/>
          <w:lang w:val="fi-FI"/>
        </w:rPr>
        <w:fldChar w:fldCharType="begin" w:fldLock="1"/>
      </w:r>
      <w:r>
        <w:rPr>
          <w:rFonts w:eastAsia="Cambria"/>
          <w:color w:val="000000"/>
          <w:sz w:val="20"/>
          <w:szCs w:val="20"/>
          <w:lang w:val="fi-FI"/>
        </w:rPr>
        <w:instrText>ADDIN CSL_CITATION {"citationItems":[{"id":"ITEM-1","itemData":{"DOI":"10.3390/gels8030174","ISSN":"2310-2861","abstract":"Active pharmaceutical ingredients (API) or drugs are normally not delivered as pure chemical substances (for the prevention or the treatment of any diseases). APIs are still generally administered in prepared formulations, also known as dosage forms. Topical administration is widely used to deliver therapeutic agents locally because it is convenient and cost-effective. Since earlier civilizations, several types of topical semi-solid dosage forms have been commonly used in healthcare society to treat various skin diseases. A topical drug delivery system is designed primarily to treat local diseases by applying therapeutic agents to surface level parts of the body such as the skin, eyes, nose, and vaginal cavity. Nowadays, novel semi-solids can be used safely in pediatrics, geriatrics, and pregnant women without the possibility of causing any allergy reactions. The novel hydrogels are being used in a wide range of applications. At first, numerous hydrogel research studies were carried out by simply adding various APIs in pure form or dissolved in various solvents to the prepared hydrogel base. However, numerous research articles on novel hydrogels have been published in the last five to ten years. It is expected that novel hydrogels will be capable of controlling the APIs release pattern. Novel hydrogels are made up of novel formulations such as nanoparticles, nanoemulsions, microemulsions, liposomes, self-nano emulsifying drug delivery systems, cubosomes, and so on. This review focus on some novel formulations incorporated in the hydrogel prepared with natural and synthetic polymers.","author":[{"dropping-particle":"","family":"Almoshari","given":"Yosif","non-dropping-particle":"","parse-names":false,"suffix":""}],"container-title":"Gels","id":"ITEM-1","issue":"3","issued":{"date-parts":[["2022","3","10"]]},"page":"174","title":"Novel Hydrogels for Topical Applications: An Updated Comprehensive Review Based on Source","type":"article-journal","volume":"8"},"uris":["http://www.mendeley.com/documents/?uuid=0bbc1ca0-fa7e-40dd-8416-415fb4a1e81a"]}],"mendeley":{"formattedCitation":"[12]","plainTextFormattedCitation":"[12]","previouslyFormattedCitation":"[12]"},"properties":{"noteIndex":0},"schema":"https://github.com/citation-style-language/schema/raw/master/csl-citation.json"}</w:instrText>
      </w:r>
      <w:r>
        <w:rPr>
          <w:rFonts w:eastAsia="Cambria"/>
          <w:color w:val="000000"/>
          <w:sz w:val="20"/>
          <w:szCs w:val="20"/>
          <w:lang w:val="fi-FI"/>
        </w:rPr>
        <w:fldChar w:fldCharType="separate"/>
      </w:r>
      <w:r>
        <w:rPr>
          <w:rFonts w:eastAsia="Cambria"/>
          <w:color w:val="000000"/>
          <w:sz w:val="20"/>
          <w:szCs w:val="20"/>
          <w:lang w:val="fi-FI"/>
        </w:rPr>
        <w:t>[12]</w:t>
      </w:r>
      <w:r>
        <w:rPr>
          <w:rFonts w:eastAsia="Cambria"/>
          <w:color w:val="000000"/>
          <w:sz w:val="20"/>
          <w:szCs w:val="20"/>
          <w:lang w:val="fi-FI"/>
        </w:rPr>
        <w:fldChar w:fldCharType="end"/>
      </w:r>
      <w:r>
        <w:rPr>
          <w:rFonts w:eastAsia="Cambria"/>
          <w:color w:val="000000"/>
          <w:sz w:val="20"/>
          <w:szCs w:val="20"/>
          <w:lang w:val="fi-FI"/>
        </w:rPr>
        <w:t>.</w:t>
      </w:r>
    </w:p>
    <w:p w14:paraId="1620ECB7" w14:textId="77777777" w:rsidR="002F2D25" w:rsidRDefault="002F2D25">
      <w:pPr>
        <w:pStyle w:val="NormalWeb"/>
        <w:spacing w:before="0" w:beforeAutospacing="0" w:after="0" w:afterAutospacing="0" w:line="276" w:lineRule="auto"/>
        <w:jc w:val="both"/>
        <w:rPr>
          <w:rFonts w:eastAsia="Cambria"/>
          <w:color w:val="000000"/>
          <w:sz w:val="20"/>
          <w:szCs w:val="20"/>
          <w:lang w:val="fi-FI"/>
        </w:rPr>
      </w:pPr>
    </w:p>
    <w:p w14:paraId="0825DCDC" w14:textId="77777777" w:rsidR="002F2D25" w:rsidRDefault="00000000">
      <w:pPr>
        <w:pStyle w:val="NormalWeb"/>
        <w:spacing w:before="0" w:beforeAutospacing="0" w:after="0" w:afterAutospacing="0" w:line="276" w:lineRule="auto"/>
        <w:jc w:val="both"/>
        <w:rPr>
          <w:rFonts w:eastAsia="Cambria"/>
          <w:color w:val="000000"/>
          <w:sz w:val="20"/>
          <w:szCs w:val="20"/>
          <w:lang w:val="fi-FI"/>
        </w:rPr>
      </w:pPr>
      <w:r>
        <w:rPr>
          <w:rFonts w:eastAsia="Cambria"/>
          <w:color w:val="000000"/>
          <w:sz w:val="20"/>
          <w:szCs w:val="20"/>
          <w:lang w:val="fi-FI"/>
        </w:rPr>
        <w:t>Berdasarkan paparan tersebut, diperlukan penelitian yang berfokus pada pemanfaatan ekstrak daun teh hijau (Camellia sinensis) sebagai bahan aktif alami dalam sediaan tabir surya berbentuk gel yang lebih nyaman diaplikasikan serta memiliki aktivitas antioksidan yang baik. Dengan demikian, penelitian ini bertujuan untuk mengembangkan formulasi gel tabir surya dengan berbagai variasi konsentrasi ekstrak daun teh hijau, serta melakukan evaluasi terhadap karakteristik fisik, stabilitas, potensi iritasi, dan aktivitas antioksidan menggunakan metode DPPH, sehingga diperoleh sediaan yang efektif dan aman digunakan pada kulit.</w:t>
      </w:r>
    </w:p>
    <w:p w14:paraId="2F969620" w14:textId="77777777" w:rsidR="002F2D25" w:rsidRDefault="002F2D25">
      <w:pPr>
        <w:pStyle w:val="NormalWeb"/>
        <w:spacing w:before="0" w:beforeAutospacing="0" w:after="0" w:afterAutospacing="0" w:line="276" w:lineRule="auto"/>
        <w:jc w:val="both"/>
        <w:rPr>
          <w:rFonts w:eastAsia="Cambria"/>
          <w:color w:val="000000"/>
          <w:sz w:val="20"/>
          <w:szCs w:val="20"/>
          <w:lang w:val="fi-FI"/>
        </w:rPr>
      </w:pPr>
    </w:p>
    <w:p w14:paraId="3F0A17ED" w14:textId="77777777" w:rsidR="002F2D25" w:rsidRDefault="00000000">
      <w:pPr>
        <w:pStyle w:val="NormalWeb"/>
        <w:numPr>
          <w:ilvl w:val="0"/>
          <w:numId w:val="6"/>
        </w:numPr>
        <w:spacing w:before="0" w:beforeAutospacing="0" w:after="0" w:afterAutospacing="0" w:line="276" w:lineRule="auto"/>
        <w:ind w:left="270" w:hanging="270"/>
        <w:jc w:val="both"/>
        <w:rPr>
          <w:b/>
          <w:i/>
        </w:rPr>
      </w:pPr>
      <w:r>
        <w:rPr>
          <w:b/>
        </w:rPr>
        <w:t>METODE</w:t>
      </w:r>
    </w:p>
    <w:p w14:paraId="0144B1D3" w14:textId="77777777" w:rsidR="002F2D25" w:rsidRDefault="00000000">
      <w:pPr>
        <w:pStyle w:val="Els-body-text"/>
        <w:spacing w:line="276" w:lineRule="auto"/>
        <w:ind w:firstLine="0"/>
        <w:rPr>
          <w:b/>
        </w:rPr>
      </w:pPr>
      <w:r>
        <w:rPr>
          <w:b/>
        </w:rPr>
        <w:t>Jenis dan Desain Penelitian</w:t>
      </w:r>
    </w:p>
    <w:p w14:paraId="43668D25" w14:textId="77777777" w:rsidR="002F2D25" w:rsidRDefault="00000000">
      <w:pPr>
        <w:pStyle w:val="Els-body-text"/>
        <w:spacing w:line="276" w:lineRule="auto"/>
        <w:ind w:firstLine="0"/>
        <w:rPr>
          <w:bCs/>
          <w:lang w:val="fi-FI"/>
        </w:rPr>
      </w:pPr>
      <w:r>
        <w:rPr>
          <w:bCs/>
        </w:rPr>
        <w:t xml:space="preserve">Penelitian ini tergolong sebagai jenis eksperimental yang dilaksanakan di laboratorium melalui pendekatan kuantitatif dan menerapkan desain </w:t>
      </w:r>
      <w:r>
        <w:rPr>
          <w:bCs/>
          <w:i/>
          <w:iCs/>
        </w:rPr>
        <w:t>posttest only control group</w:t>
      </w:r>
      <w:r>
        <w:rPr>
          <w:bCs/>
        </w:rPr>
        <w:t xml:space="preserve">. Kegiatan penelitian mencakup pembuatan sediaan gel tabir surya yang mengandung ekstrak daun teh hijau (Camellia sinensis) dengan variasi konsentrasi 0%, 5%, 10%, dan 15%. </w:t>
      </w:r>
      <w:r>
        <w:rPr>
          <w:bCs/>
          <w:lang w:val="fi-FI"/>
        </w:rPr>
        <w:t>Selanjutnya, masing-masing formulasi dievaluasi melalui pengujian karakteristik fisik, uji potensi iritasi, serta analisis aktivitas antioksidan menggunakan metode DPPH.</w:t>
      </w:r>
    </w:p>
    <w:p w14:paraId="5041A5B3" w14:textId="77777777" w:rsidR="002F2D25" w:rsidRDefault="002F2D25">
      <w:pPr>
        <w:pStyle w:val="Els-body-text"/>
        <w:spacing w:line="276" w:lineRule="auto"/>
        <w:ind w:firstLine="0"/>
        <w:rPr>
          <w:bCs/>
          <w:lang w:val="fi-FI"/>
        </w:rPr>
      </w:pPr>
    </w:p>
    <w:p w14:paraId="017EA07E" w14:textId="77777777" w:rsidR="002F2D25" w:rsidRDefault="00000000">
      <w:pPr>
        <w:pStyle w:val="Els-body-text"/>
        <w:spacing w:line="276" w:lineRule="auto"/>
        <w:ind w:firstLine="0"/>
        <w:rPr>
          <w:b/>
          <w:lang w:val="fi-FI"/>
        </w:rPr>
      </w:pPr>
      <w:r>
        <w:rPr>
          <w:b/>
          <w:lang w:val="fi-FI"/>
        </w:rPr>
        <w:t>Alat dan Bahan</w:t>
      </w:r>
    </w:p>
    <w:p w14:paraId="71DFBACB" w14:textId="77777777" w:rsidR="002F2D25" w:rsidRDefault="00000000">
      <w:pPr>
        <w:pStyle w:val="Els-body-text"/>
        <w:spacing w:line="276" w:lineRule="auto"/>
        <w:ind w:firstLine="0"/>
        <w:rPr>
          <w:bCs/>
          <w:lang w:val="fi-FI"/>
        </w:rPr>
      </w:pPr>
      <w:r>
        <w:rPr>
          <w:bCs/>
          <w:lang w:val="fi-FI"/>
        </w:rPr>
        <w:t xml:space="preserve">Alat yang digunakan meliputi timbangan analitik (Ohaus Pioneer PX), oven pengering (Memmert UN series), spektrofotometer UV-Vis (Shimadzu UV-1800), pH meter digital (Hanna Instruments HI2211),  mikropipet (Eppendorf Research Plus), kuvet, magnetic stirrer, blender, serta peralatan gelas. Sementara bahan yang digunakan meliputi daun teh hijau </w:t>
      </w:r>
      <w:r>
        <w:rPr>
          <w:bCs/>
          <w:i/>
          <w:iCs/>
          <w:lang w:val="fi-FI"/>
        </w:rPr>
        <w:t>(Camellia sinensis)</w:t>
      </w:r>
      <w:r>
        <w:rPr>
          <w:bCs/>
          <w:lang w:val="fi-FI"/>
        </w:rPr>
        <w:t xml:space="preserve">, NaCMC, gliserin, propilen glikol, serbuk magnesium, asam klorida, asam sulfat, reagen Dragendorff, besi(III) klorida, kloroform, reagen Liebermann–Burchard, DPPH (Sigma-Aldrich), metanol dan etanol (p.a), serta aquadest. </w:t>
      </w:r>
    </w:p>
    <w:p w14:paraId="2F0DE05B" w14:textId="77777777" w:rsidR="002F2D25" w:rsidRDefault="002F2D25">
      <w:pPr>
        <w:pStyle w:val="Els-body-text"/>
        <w:spacing w:line="276" w:lineRule="auto"/>
        <w:ind w:firstLine="0"/>
        <w:rPr>
          <w:bCs/>
          <w:lang w:val="fi-FI"/>
        </w:rPr>
      </w:pPr>
    </w:p>
    <w:p w14:paraId="4264C392" w14:textId="77777777" w:rsidR="002F2D25" w:rsidRDefault="00000000">
      <w:pPr>
        <w:pStyle w:val="Els-body-text"/>
        <w:spacing w:line="276" w:lineRule="auto"/>
        <w:ind w:firstLine="0"/>
        <w:rPr>
          <w:b/>
          <w:lang w:val="fi-FI"/>
        </w:rPr>
      </w:pPr>
      <w:r>
        <w:rPr>
          <w:b/>
          <w:lang w:val="fi-FI"/>
        </w:rPr>
        <w:t>Prosedur Kerja</w:t>
      </w:r>
    </w:p>
    <w:p w14:paraId="2EAFA0F1" w14:textId="77777777" w:rsidR="002F2D25" w:rsidRDefault="00000000">
      <w:pPr>
        <w:pStyle w:val="Els-body-text"/>
        <w:spacing w:line="276" w:lineRule="auto"/>
        <w:ind w:firstLine="0"/>
        <w:rPr>
          <w:b/>
          <w:bCs/>
          <w:lang w:val="fi-FI"/>
        </w:rPr>
      </w:pPr>
      <w:r>
        <w:rPr>
          <w:b/>
          <w:bCs/>
          <w:lang w:val="fi-FI"/>
        </w:rPr>
        <w:t>1. Pengolahan Sampel</w:t>
      </w:r>
    </w:p>
    <w:p w14:paraId="22BDFC6B" w14:textId="77777777" w:rsidR="002F2D25" w:rsidRDefault="00000000">
      <w:pPr>
        <w:pStyle w:val="Els-body-text"/>
        <w:spacing w:line="276" w:lineRule="auto"/>
        <w:ind w:firstLine="0"/>
        <w:rPr>
          <w:lang w:val="fi-FI"/>
        </w:rPr>
      </w:pPr>
      <w:r>
        <w:rPr>
          <w:lang w:val="fi-FI"/>
        </w:rPr>
        <w:t>Sampel berupa 5 kg daun teh hijau (Camellia sinensis) dikumpulkan, kemudian dilakukan sortasi basah untuk menghilangkan kotoran seperti tanah, rumput, dan kerikil. Sampel selanjutnya dicuci dengan air bersih, dipotong kecil, dan dikeringkan secara alami di tempat terlindung dari sinar matahari langsung. Setelah kering, bahan dihaluskan menggunakan blender hingga diperoleh serbuk simplisia.</w:t>
      </w:r>
    </w:p>
    <w:p w14:paraId="6D89578E" w14:textId="77777777" w:rsidR="002F2D25" w:rsidRDefault="002F2D25">
      <w:pPr>
        <w:pStyle w:val="Els-body-text"/>
        <w:spacing w:line="276" w:lineRule="auto"/>
        <w:ind w:firstLine="0"/>
        <w:rPr>
          <w:lang w:val="fi-FI"/>
        </w:rPr>
      </w:pPr>
    </w:p>
    <w:p w14:paraId="48F0D5C0" w14:textId="77777777" w:rsidR="002F2D25" w:rsidRDefault="00000000">
      <w:pPr>
        <w:pStyle w:val="Els-body-text"/>
        <w:spacing w:line="276" w:lineRule="auto"/>
        <w:ind w:firstLine="0"/>
        <w:rPr>
          <w:b/>
          <w:bCs/>
          <w:lang w:val="fi-FI"/>
        </w:rPr>
      </w:pPr>
      <w:r>
        <w:rPr>
          <w:b/>
          <w:bCs/>
          <w:lang w:val="fi-FI"/>
        </w:rPr>
        <w:t xml:space="preserve">2. Ekstraksi </w:t>
      </w:r>
    </w:p>
    <w:p w14:paraId="5A4507A2" w14:textId="77777777" w:rsidR="002F2D25" w:rsidRDefault="00000000">
      <w:pPr>
        <w:pStyle w:val="Els-body-text"/>
        <w:spacing w:line="276" w:lineRule="auto"/>
        <w:ind w:firstLine="0"/>
        <w:rPr>
          <w:lang w:val="fi-FI"/>
        </w:rPr>
      </w:pPr>
      <w:r>
        <w:rPr>
          <w:lang w:val="fi-FI"/>
        </w:rPr>
        <w:t>Simplisia diekstraksi pada suhu kamar dengan merendamnya dalam maserator yang berisi pelarut etanol (metode maserasi) selama beberapa hari. Kemudian dilakukan proses penyaringan sehingga diperoleh maserat lalu diuapkan dalam rotary evaporator sehingga diperoleh ekstrak kering.</w:t>
      </w:r>
    </w:p>
    <w:p w14:paraId="2542A65F" w14:textId="77777777" w:rsidR="002F2D25" w:rsidRDefault="002F2D25">
      <w:pPr>
        <w:pStyle w:val="Els-body-text"/>
        <w:spacing w:line="276" w:lineRule="auto"/>
        <w:ind w:firstLine="0"/>
        <w:rPr>
          <w:lang w:val="fi-FI"/>
        </w:rPr>
      </w:pPr>
    </w:p>
    <w:p w14:paraId="08F56029" w14:textId="77777777" w:rsidR="002F2D25" w:rsidRDefault="00000000">
      <w:pPr>
        <w:pStyle w:val="Els-body-text"/>
        <w:spacing w:line="276" w:lineRule="auto"/>
        <w:ind w:firstLine="0"/>
        <w:rPr>
          <w:b/>
          <w:bCs/>
          <w:lang w:val="fi-FI"/>
        </w:rPr>
      </w:pPr>
      <w:r>
        <w:rPr>
          <w:b/>
          <w:bCs/>
          <w:lang w:val="fi-FI"/>
        </w:rPr>
        <w:t xml:space="preserve">3. Uji Fitokimia </w:t>
      </w:r>
    </w:p>
    <w:p w14:paraId="4876A99C" w14:textId="77777777" w:rsidR="002F2D25" w:rsidRDefault="00000000">
      <w:pPr>
        <w:pStyle w:val="Els-body-text"/>
        <w:spacing w:line="276" w:lineRule="auto"/>
        <w:ind w:firstLine="0"/>
        <w:rPr>
          <w:lang w:val="fi-FI"/>
        </w:rPr>
      </w:pPr>
      <w:r>
        <w:rPr>
          <w:lang w:val="fi-FI"/>
        </w:rPr>
        <w:t xml:space="preserve">Uji fitokimia dilakukan terhadap metabolit sekunder dalam ekstrak kering daun teh hijau, mencakup uji flavonoid menggunakan serbuk magnesium dan HCl pekat yang ditandai munculnya endapan berwarna merah. Uji alkaloid menggunakan pereaksi </w:t>
      </w:r>
      <w:r>
        <w:rPr>
          <w:i/>
          <w:iCs/>
          <w:lang w:val="fi-FI"/>
        </w:rPr>
        <w:t xml:space="preserve">Dragendorff </w:t>
      </w:r>
      <w:r>
        <w:rPr>
          <w:lang w:val="fi-FI"/>
        </w:rPr>
        <w:t xml:space="preserve">setelah penambahan asam sulfat, dengan indikasi positif berupa warna jingga </w:t>
      </w:r>
      <w:r>
        <w:rPr>
          <w:lang w:val="fi-FI"/>
        </w:rPr>
        <w:fldChar w:fldCharType="begin" w:fldLock="1"/>
      </w:r>
      <w:r>
        <w:rPr>
          <w:rFonts w:hint="eastAsia"/>
          <w:lang w:val="fi-FI"/>
        </w:rPr>
        <w:instrText>ADDIN CSL_CITATION {"citationItems":[{"id":"ITEM-1","itemData":{"DOI":"10.1002/fsn3.3501","ISSN":"2048-7177","abstract":"Cheddar cheese</w:instrText>
      </w:r>
      <w:r>
        <w:rPr>
          <w:rFonts w:hint="eastAsia"/>
          <w:lang w:val="fi-FI"/>
        </w:rPr>
        <w:instrText>‐</w:instrText>
      </w:r>
      <w:r>
        <w:rPr>
          <w:rFonts w:hint="eastAsia"/>
          <w:lang w:val="fi-FI"/>
        </w:rPr>
        <w:instrText>derived bioactive peptides are considered a potential component of functional foods. A positive impact of bioactive peptides on diet</w:instrText>
      </w:r>
      <w:r>
        <w:rPr>
          <w:rFonts w:hint="eastAsia"/>
          <w:lang w:val="fi-FI"/>
        </w:rPr>
        <w:instrText>‐</w:instrText>
      </w:r>
      <w:r>
        <w:rPr>
          <w:rFonts w:hint="eastAsia"/>
          <w:lang w:val="fi-FI"/>
        </w:rPr>
        <w:instrText>related chronic, non</w:instrText>
      </w:r>
      <w:r>
        <w:rPr>
          <w:rFonts w:hint="eastAsia"/>
          <w:lang w:val="fi-FI"/>
        </w:rPr>
        <w:instrText>‐</w:instrText>
      </w:r>
      <w:r>
        <w:rPr>
          <w:rFonts w:hint="eastAsia"/>
          <w:lang w:val="fi-FI"/>
        </w:rPr>
        <w:instrText>communicable diseases, like obesity, cardiovascular diseases, and diabetes, has been observed. Bioactive peptides possess multifunctional therapeutic potentials, including antimicrobial, immunomodulatory, antioxidant, enzyme inhibitory effects, anti</w:instrText>
      </w:r>
      <w:r>
        <w:rPr>
          <w:rFonts w:hint="eastAsia"/>
          <w:lang w:val="fi-FI"/>
        </w:rPr>
        <w:instrText>‐</w:instrText>
      </w:r>
      <w:r>
        <w:rPr>
          <w:rFonts w:hint="eastAsia"/>
          <w:lang w:val="fi-FI"/>
        </w:rPr>
        <w:instrText>thrombotic, and phyto</w:instrText>
      </w:r>
      <w:r>
        <w:rPr>
          <w:rFonts w:hint="eastAsia"/>
          <w:lang w:val="fi-FI"/>
        </w:rPr>
        <w:instrText>‐</w:instrText>
      </w:r>
      <w:r>
        <w:rPr>
          <w:rFonts w:hint="eastAsia"/>
          <w:lang w:val="fi-FI"/>
        </w:rPr>
        <w:instrText>pathological activities against various toxic compounds. Peptides can regulate human immune, gastrointestinal, hormonal, and neurological responses, which play an integral role in the deterrence and treatment of certain diseases like cancer, osteoporosis, hypertension, and other health disorders, as described in the present review. This review summarizes the categories of the Cheddar cheese</w:instrText>
      </w:r>
      <w:r>
        <w:rPr>
          <w:rFonts w:hint="eastAsia"/>
          <w:lang w:val="fi-FI"/>
        </w:rPr>
        <w:instrText>‐</w:instrText>
      </w:r>
      <w:r>
        <w:rPr>
          <w:rFonts w:hint="eastAsia"/>
          <w:lang w:val="fi-FI"/>
        </w:rPr>
        <w:instrText>derived bioactive peptides, their general characteristics, physi</w:instrText>
      </w:r>
      <w:r>
        <w:rPr>
          <w:lang w:val="fi-FI"/>
        </w:rPr>
        <w:instrText>ological functions, and possible applications in healthcare.","author":[{"dropping-particle":"","family":"Shafique","given":"Bakhtawar","non-dropping-particle":"","parse-names":false,"suffix":""},{"dropping-particle":"","family":"Murtaza","given":"Mian Anjum","non-dropping-particle":"","parse-names":false,"suffix":""},{"dropping-particle":"","family":"Hafiz","given":"Iram","non-dropping-particle":"","parse-names":false,"suffix":""},{"dropping-particle":"","family":"Ameer","given":"Kashif","non-dropping-particle":"","parse-names":false,"suffix":""},{"dropping-particle":"","family":"Basharat","given":"Shahnai","non-dropping-particle":"","parse-names":false,"suffix":""},{"dropping-particle":"","family":"Mohamed Ahmed","given":"Isam A.","non-dropping-particle":"","parse-names":false,"suffix":""}],"container-title":"Food Science &amp; Nutrition","id":"ITEM-1","issue":"9","issued":{"date-parts":[["2023","9","13"]]},"page":"4948-4963","title":"Proteolysis and therapeutic potential of bioactive peptides derived from Cheddar cheese","type":"article-journal","volume":"11"},"uris":["http://www.mendeley.com/documents/?uuid=e9f11eff-1004-4574-afcb-c9de053088b8"]}],"mendeley":{"formattedCitation":"[13]","plainTextFormattedCitation":"[13]","previouslyFormattedCitation":"[13]"},"properties":{"noteIndex":0},"schema":"https://github.com/citation-style-language/schema/raw/master/csl-citation.json"}</w:instrText>
      </w:r>
      <w:r>
        <w:rPr>
          <w:lang w:val="fi-FI"/>
        </w:rPr>
        <w:fldChar w:fldCharType="separate"/>
      </w:r>
      <w:r>
        <w:rPr>
          <w:lang w:val="fi-FI"/>
        </w:rPr>
        <w:t>[13]</w:t>
      </w:r>
      <w:r>
        <w:rPr>
          <w:lang w:val="fi-FI"/>
        </w:rPr>
        <w:fldChar w:fldCharType="end"/>
      </w:r>
      <w:r>
        <w:rPr>
          <w:lang w:val="fi-FI"/>
        </w:rPr>
        <w:t xml:space="preserve">. Uji saponin dilakukan dengan pengocokan dalam aquadest yang diikuti penambahan HCl, ditandai dengan terbentuknya busa stabil. Uji tanin dilakukan dengan penambahan FeCl₃ 5% yang menghasilkan warna hijau kehitaman, sedangkan uji steroid menggunakan pereaksi </w:t>
      </w:r>
      <w:r>
        <w:rPr>
          <w:i/>
          <w:iCs/>
          <w:lang w:val="fi-FI"/>
        </w:rPr>
        <w:t>Liebermann–Burchard</w:t>
      </w:r>
      <w:r>
        <w:rPr>
          <w:lang w:val="fi-FI"/>
        </w:rPr>
        <w:t xml:space="preserve"> yang menunjukkan perubahan warna dari merah menjadi biru atau hijau sebagai indikator hasil positif </w:t>
      </w:r>
      <w:r>
        <w:rPr>
          <w:lang w:val="fi-FI"/>
        </w:rPr>
        <w:fldChar w:fldCharType="begin" w:fldLock="1"/>
      </w:r>
      <w:r>
        <w:rPr>
          <w:lang w:val="fi-FI"/>
        </w:rPr>
        <w:instrText>ADDIN CSL_CITATION {"citationItems":[{"id":"ITEM-1","itemData":{"DOI":"10.21580/wjc.v6i2.17818","ISSN":"2621-5985","abstract":"The aim of this study was to evaluate the chemical composition and antioxidant activity of Thymus vulgaris L. extracts. T. vulgaris L. is a medicinal plant that has various bioactive compounds. Four different solvents (ethanol, water, ethyl acetate, and chloroform) were used to extract these compounds from the plant. The phytochemical screening of the extracts showed that the ethanolic extract had the highest diversity of compounds, including coumarins, flavonoids, alkaloids, tannins, phenols, carbohydrates, and proteins. The total phenolic and total antioxidant contents of the ethanolic extract were measured by the Folin–Ciocalteu and phosphomolybdenum methods, respectively. The ethanolic extract had a high phenolic content of 77.7 mg gallic acid equivalent/g dry weight, which indicates its potential antioxidant capacity. The mineral content of T. vulgaris L. was also assessed by flame photometry and atomic absorption spectrophotometry after dry digestion. The plant contained five macroelements (K, Na, Ca, Mg, P) and three microelements (Fe, Cu, Zn) in different concentrations. The highest concentration was found for potassium (15259 mg/kg), followed by calcium (5118 mg/kg) and sodium (4793 mg/kg). The lowest concentration was found for phosphorus (1400 mg/kg), which was still higher than the microelements. Among the microelements, zinc had the highest concentration (24.82 mg/kg), followed by iron (17.44 mg/kg) and copper (14.98 mg/kg). The results of this study provide useful information for the users, collectors and practitioners of medicinal plants from polluted areas, as they can evaluate the quality and safety of T. vulgaris L. for human consumption.","author":[{"dropping-particle":"","family":"Elsherif","given":"Khaled Muftah","non-dropping-particle":"","parse-names":false,"suffix":""},{"dropping-particle":"","family":"Ewlad-Ahmed","given":"Abdunaser Mabrok Mabrok","non-dropping-particle":"","parse-names":false,"suffix":""},{"dropping-particle":"","family":"Alhlbad","given":"Ebtesam Abdallah Ahmed","non-dropping-particle":"","parse-names":false,"suffix":""},{"dropping-particle":"","family":"Iqneebir","given":"Abdulrhman Mohammed","non-dropping-particle":"","parse-names":false,"suffix":""}],"container-title":"Walisongo Journal of Chemistry","id":"ITEM-1","issue":"2","issued":{"date-parts":[["2023","12","15"]]},"page":"168-180","title":"Phytochemical Screening, Antioxidant Capacity Measurement, and Mineral Content Determination of Thymus vulgaris L. Extracts","type":"article-journal","volume":"6"},"uris":["http://www.mendeley.com/documents/?uuid=1d520491-950c-4bc7-a961-e8ec2093e474"]}],"mendeley":{"formattedCitation":"[14]","plainTextFormattedCitation":"[14]","previouslyFormattedCitation":"[14]"},"properties":{"noteIndex":0},"schema":"https://github.com/citation-style-language/schema/raw/master/csl-citation.json"}</w:instrText>
      </w:r>
      <w:r>
        <w:rPr>
          <w:lang w:val="fi-FI"/>
        </w:rPr>
        <w:fldChar w:fldCharType="separate"/>
      </w:r>
      <w:r>
        <w:rPr>
          <w:lang w:val="fi-FI"/>
        </w:rPr>
        <w:t>[14]</w:t>
      </w:r>
      <w:r>
        <w:rPr>
          <w:lang w:val="fi-FI"/>
        </w:rPr>
        <w:fldChar w:fldCharType="end"/>
      </w:r>
      <w:r>
        <w:rPr>
          <w:lang w:val="fi-FI"/>
        </w:rPr>
        <w:t>.</w:t>
      </w:r>
    </w:p>
    <w:p w14:paraId="0B559FAA" w14:textId="77777777" w:rsidR="002F2D25" w:rsidRDefault="002F2D25">
      <w:pPr>
        <w:pStyle w:val="Els-body-text"/>
        <w:spacing w:line="276" w:lineRule="auto"/>
        <w:rPr>
          <w:lang w:val="fi-FI"/>
        </w:rPr>
      </w:pPr>
    </w:p>
    <w:p w14:paraId="6EDAF600" w14:textId="77777777" w:rsidR="002F2D25" w:rsidRDefault="00000000">
      <w:pPr>
        <w:pStyle w:val="Els-body-text"/>
        <w:spacing w:line="276" w:lineRule="auto"/>
        <w:ind w:firstLine="0"/>
        <w:rPr>
          <w:b/>
          <w:bCs/>
          <w:lang w:val="fi-FI"/>
        </w:rPr>
      </w:pPr>
      <w:r>
        <w:rPr>
          <w:b/>
          <w:bCs/>
          <w:lang w:val="fi-FI"/>
        </w:rPr>
        <w:t>4. Formulasi Gel</w:t>
      </w:r>
    </w:p>
    <w:p w14:paraId="611C5582" w14:textId="77777777" w:rsidR="002F2D25" w:rsidRDefault="00000000">
      <w:pPr>
        <w:pStyle w:val="Els-body-text"/>
        <w:spacing w:line="276" w:lineRule="auto"/>
        <w:ind w:firstLine="0"/>
        <w:rPr>
          <w:lang w:val="zh-CN"/>
        </w:rPr>
      </w:pPr>
      <w:r>
        <w:rPr>
          <w:lang w:val="fi-FI"/>
        </w:rPr>
        <w:t xml:space="preserve">Formulasi gel dilakukan dengan menimbang seluruh bahan sesuai rancangan formula, yaitu aquadest, NaCMC, gliserin, propilen glikol, dan ekstrak daun teh hijau. Sebanyak 40 mL aquadest dipanaskan hingga ±70°C, kemudian ditambahkan NaCMC hingga terbentuk massa gel. </w:t>
      </w:r>
      <w:r>
        <w:rPr>
          <w:lang w:val="zh-CN"/>
        </w:rPr>
        <w:t>Selanjutnya, gliserin dan propilen glikol yang telah dilarutkan dalam sedikit air dicampurkan ke dalam basis gel dan diaduk hingga homogen. Ekstrak daun teh hijau kemudian ditambahkan dan dicampur merata hingga diperoleh sediaan gel. Formulasi dibuat dalam beberapa konsentrasi ekstrak, yaitu 0% (F0), 5% (F1), 10% (F2), dan 15% (F3).</w:t>
      </w:r>
    </w:p>
    <w:p w14:paraId="170951A4" w14:textId="77777777" w:rsidR="002F2D25" w:rsidRDefault="002F2D25">
      <w:pPr>
        <w:pStyle w:val="Els-body-text"/>
        <w:spacing w:line="276" w:lineRule="auto"/>
        <w:rPr>
          <w:lang w:val="zh-CN"/>
        </w:rPr>
      </w:pPr>
    </w:p>
    <w:p w14:paraId="5B8DCC41" w14:textId="77777777" w:rsidR="002F2D25" w:rsidRDefault="00000000">
      <w:pPr>
        <w:pStyle w:val="Els-body-text"/>
        <w:spacing w:line="276" w:lineRule="auto"/>
        <w:ind w:firstLine="0"/>
        <w:rPr>
          <w:b/>
          <w:bCs/>
          <w:lang w:val="fi-FI"/>
        </w:rPr>
      </w:pPr>
      <w:r>
        <w:rPr>
          <w:b/>
          <w:bCs/>
          <w:lang w:val="fi-FI"/>
        </w:rPr>
        <w:t>5. Uji Karakteristik Gel</w:t>
      </w:r>
    </w:p>
    <w:p w14:paraId="69E1C4FC" w14:textId="77777777" w:rsidR="002F2D25" w:rsidRDefault="00000000">
      <w:pPr>
        <w:pStyle w:val="Els-body-text"/>
        <w:spacing w:line="276" w:lineRule="auto"/>
        <w:ind w:firstLine="0"/>
        <w:rPr>
          <w:lang w:val="fi-FI"/>
        </w:rPr>
      </w:pPr>
      <w:r>
        <w:rPr>
          <w:lang w:val="fi-FI"/>
        </w:rPr>
        <w:t xml:space="preserve">Uji karakteristik gel meliputi evaluasi organoleptik, pH, homogenitas, dan potensi iritasi. Pengamatan organoleptik dilakukan dengan menilai warna, bau, dan konsistensi sediaan. Pengukuran pH dilakukan dengan melarutkan 1 g gel dalam 10 mL aquadest, kemudian diukur pada kisaran pH kulit 4,5–6,5. Kemudian Uji homogenitas dilakukan dengan mengoleskan gel pada kaca objek dan diamati untuk memastikan keberadaan </w:t>
      </w:r>
      <w:r>
        <w:rPr>
          <w:lang w:val="fi-FI"/>
        </w:rPr>
        <w:lastRenderedPageBreak/>
        <w:t xml:space="preserve">partikel kasar dan warna seragam </w:t>
      </w:r>
      <w:r>
        <w:rPr>
          <w:lang w:val="fi-FI"/>
        </w:rPr>
        <w:fldChar w:fldCharType="begin" w:fldLock="1"/>
      </w:r>
      <w:r>
        <w:rPr>
          <w:lang w:val="fi-FI"/>
        </w:rPr>
        <w:instrText>ADDIN CSL_CITATION {"citationItems":[{"id":"ITEM-1","itemData":{"DOI":"10.57213/jrikuf.v2i4.559","ISSN":"3026-5819","abstract":"Tamarind fruit extract (Tamarindus indica L.) contained flavonoids such as quercetin as antioxidants. The hydrophilic nature of tamarind fruit (Tamarindus indica L.) led to poor penetration and low bioavailability. Research was conducted to address penetration issues by preparing a phytosome drug delivery system incorporated into tamarind fruit extract formulations. The study aimed to formulate a tamarind fruit extract gel with phytosome preparation to enhance the effectiveness of active ingredient penetration. Phytosome preparation was carried out using the thin layer hydration method with concentrations of 1.5%, 3%, and 4.5%. Evaluation of the gel preparations showed that the color of FI (1.5%) was yellowish-brown, F2 (3%) was light brown, and F3 (4.5%) was dark brown. All formulations had a distinctive odor, pH ranged from 4.3 to 5.2, viscosity ranged from 4,333 to 7,500 cPs, spreadability ranged from 5.2 to 5.8 cm, and they had good stability, were homogeneous, and did not cause irritation. Penetration tests using Franz diffusion cells were performed on male rabbit skin (Oryctolagus cuniculus). The penetration results were analyzed using UV-Vis spectrophotometry with a maximum wavelength of 435 nm. The cumulative amount penetrated was 13.2085 ppm for F1 (1.5%), 14.2142 ppm for F2 (3%), and 15.5136 ppm for F3 (4.5%). In contrast, the tamarind fruit extract gel without phytosomes had a cumulative penetration amount of 1.3684 ppm. The tamarind fruit extract's phytosome gel showed better penetration than the tamarind fruit extract gel without phytosomes.","author":[{"dropping-particle":"","family":"Devina Chandra","given":"","non-dropping-particle":"","parse-names":false,"suffix":""},{"dropping-particle":"","family":"Cut Masyithah Thaib","given":"","non-dropping-particle":"","parse-names":false,"suffix":""},{"dropping-particle":"","family":"Steven Tandiono","given":"","non-dropping-particle":"","parse-names":false,"suffix":""},{"dropping-particle":"","family":"Manuppak Irianto Tampubolon","given":"","non-dropping-particle":"","parse-names":false,"suffix":""}],"container-title":"Jurnal Riset Ilmu Kesehatan Umum dan Farmasi (JRIKUF)","id":"ITEM-1","issue":"4","issued":{"date-parts":[["2024"]]},"page":"157-178","title":"Formulasi dan Uji Penetrasi In Vitro Sediaan Gel Sistem FitosomEkstrak Buah Asam Jawa (Tamarindus indica L.)","type":"article-journal","volume":"2"},"uris":["http://www.mendeley.com/documents/?uuid=3c737e34-7659-4740-8378-7f8b29c70a10"]}],"mendeley":{"formattedCitation":"[15]","plainTextFormattedCitation":"[15]","previouslyFormattedCitation":"[15]"},"properties":{"noteIndex":0},"schema":"https://github.com/citation-style-language/schema/raw/master/csl-citation.json"}</w:instrText>
      </w:r>
      <w:r>
        <w:rPr>
          <w:lang w:val="fi-FI"/>
        </w:rPr>
        <w:fldChar w:fldCharType="separate"/>
      </w:r>
      <w:r>
        <w:rPr>
          <w:lang w:val="fi-FI"/>
        </w:rPr>
        <w:t>[15]</w:t>
      </w:r>
      <w:r>
        <w:rPr>
          <w:lang w:val="fi-FI"/>
        </w:rPr>
        <w:fldChar w:fldCharType="end"/>
      </w:r>
      <w:r>
        <w:rPr>
          <w:lang w:val="fi-FI"/>
        </w:rPr>
        <w:t>. Terakhir, uji iritasi dilakukan pada 12 relawan wanita sehat berusia 20–30 tahun dengan mengaplikasikan sediaan pada bagian belakang telinga dan mengamati reaksi seperti kemerahan, gatal, atau pembengkakan.</w:t>
      </w:r>
    </w:p>
    <w:p w14:paraId="154EDC8E" w14:textId="77777777" w:rsidR="002F2D25" w:rsidRDefault="00000000">
      <w:pPr>
        <w:pStyle w:val="Els-body-text"/>
        <w:spacing w:line="276" w:lineRule="auto"/>
        <w:ind w:firstLine="0"/>
        <w:rPr>
          <w:b/>
          <w:bCs/>
          <w:lang w:val="fi-FI"/>
        </w:rPr>
      </w:pPr>
      <w:r>
        <w:rPr>
          <w:b/>
          <w:bCs/>
          <w:lang w:val="fi-FI"/>
        </w:rPr>
        <w:t>5. Uji Antioksidan</w:t>
      </w:r>
    </w:p>
    <w:p w14:paraId="0D6FE15F" w14:textId="77777777" w:rsidR="002F2D25" w:rsidRDefault="00000000">
      <w:pPr>
        <w:pStyle w:val="Els-body-text"/>
        <w:spacing w:line="276" w:lineRule="auto"/>
        <w:ind w:firstLine="0"/>
        <w:rPr>
          <w:lang w:val="fi-FI"/>
        </w:rPr>
      </w:pPr>
      <w:r>
        <w:rPr>
          <w:lang w:val="fi-FI"/>
        </w:rPr>
        <w:t>Pengujian antioksidan dengan menyiapkan larutan DPPH 0,1 mM, yang diperoleh dengan melarutkan 4 mg DPPH dalam metanol sebanyak 100 mL. Lalu dilakukan penentuan panjang gelombang maksimum DPPH pada rentang 400–800 nm. Larutan sampel dibuat dalam konsentrasi (2, 4, 6, dan 8 ppm) dan direaksikan dengan DPPH. Selanjutnya, dilakukan pengukuran absorbansi untuk menghitung persen inhibisi dan menentukan nilai IC</w:t>
      </w:r>
      <w:r>
        <w:rPr>
          <w:vertAlign w:val="subscript"/>
          <w:lang w:val="fi-FI"/>
        </w:rPr>
        <w:t>50</w:t>
      </w:r>
      <w:r>
        <w:rPr>
          <w:lang w:val="fi-FI"/>
        </w:rPr>
        <w:t xml:space="preserve"> sebagai indikator aktivitas antioksidan.</w:t>
      </w:r>
    </w:p>
    <w:p w14:paraId="1825AC51" w14:textId="77777777" w:rsidR="002F2D25" w:rsidRDefault="002F2D25">
      <w:pPr>
        <w:pStyle w:val="Els-body-text"/>
        <w:spacing w:line="276" w:lineRule="auto"/>
        <w:ind w:firstLine="0"/>
        <w:rPr>
          <w:lang w:val="fi-FI"/>
        </w:rPr>
      </w:pPr>
    </w:p>
    <w:p w14:paraId="785058BE" w14:textId="77777777" w:rsidR="002F2D25" w:rsidRDefault="00000000">
      <w:pPr>
        <w:pStyle w:val="Els-body-text"/>
        <w:numPr>
          <w:ilvl w:val="0"/>
          <w:numId w:val="6"/>
        </w:numPr>
        <w:spacing w:line="276" w:lineRule="auto"/>
        <w:ind w:left="284" w:hanging="284"/>
        <w:rPr>
          <w:b/>
        </w:rPr>
      </w:pPr>
      <w:r>
        <w:rPr>
          <w:b/>
        </w:rPr>
        <w:t>HASIL</w:t>
      </w:r>
    </w:p>
    <w:p w14:paraId="3D696F81" w14:textId="77777777" w:rsidR="002F2D25" w:rsidRDefault="00000000">
      <w:pPr>
        <w:pStyle w:val="Els-body-text"/>
        <w:spacing w:line="276" w:lineRule="auto"/>
        <w:ind w:firstLine="0"/>
        <w:rPr>
          <w:b/>
        </w:rPr>
      </w:pPr>
      <w:r>
        <w:rPr>
          <w:b/>
        </w:rPr>
        <w:t>Rendemen dan Uji Fitokimia</w:t>
      </w:r>
    </w:p>
    <w:p w14:paraId="10E772B8" w14:textId="77777777" w:rsidR="002F2D25" w:rsidRDefault="00000000">
      <w:pPr>
        <w:pStyle w:val="Els-body-text"/>
        <w:spacing w:line="276" w:lineRule="auto"/>
        <w:ind w:firstLine="0"/>
        <w:rPr>
          <w:rFonts w:eastAsiaTheme="minorHAnsi"/>
        </w:rPr>
      </w:pPr>
      <w:r>
        <w:rPr>
          <w:bCs/>
        </w:rPr>
        <w:t>Serbuk simplisia teh diperoleh sebesar 3,8 kg setel</w:t>
      </w:r>
      <w:r w:rsidR="009A0A10">
        <w:rPr>
          <w:bCs/>
        </w:rPr>
        <w:t>ah</w:t>
      </w:r>
      <w:r>
        <w:rPr>
          <w:bCs/>
        </w:rPr>
        <w:t xml:space="preserve"> dipreparasi. Sementara ektrak kering yang diperoleh setelah dimaserasi dan diuapkan sebesar 392 gr. Berdasarkan angka tersebut maka diperoleh rendemen ekstrak daun t</w:t>
      </w:r>
      <w:r w:rsidR="009A0A10">
        <w:rPr>
          <w:bCs/>
        </w:rPr>
        <w:t>eh</w:t>
      </w:r>
      <w:r>
        <w:rPr>
          <w:bCs/>
        </w:rPr>
        <w:t xml:space="preserve"> hijau sebesar 10,32%. Sementara </w:t>
      </w:r>
      <w:r>
        <w:rPr>
          <w:rFonts w:eastAsiaTheme="minorHAnsi"/>
        </w:rPr>
        <w:t>hasil uji fitokimia menggunakan pereaksi dalam proses</w:t>
      </w:r>
      <w:r w:rsidR="009A0A10">
        <w:rPr>
          <w:rFonts w:eastAsiaTheme="minorHAnsi"/>
        </w:rPr>
        <w:t xml:space="preserve"> </w:t>
      </w:r>
      <w:r>
        <w:rPr>
          <w:rFonts w:eastAsiaTheme="minorHAnsi"/>
        </w:rPr>
        <w:t xml:space="preserve">deteksi metabolit sekunder </w:t>
      </w:r>
      <w:r w:rsidR="009A0A10">
        <w:rPr>
          <w:rFonts w:eastAsiaTheme="minorHAnsi"/>
        </w:rPr>
        <w:t xml:space="preserve">menunjukkan </w:t>
      </w:r>
      <w:r>
        <w:rPr>
          <w:rFonts w:eastAsiaTheme="minorHAnsi"/>
        </w:rPr>
        <w:t xml:space="preserve">perubahan warna larutan ataupun munculnya endapan seperti yang tersaji pada tabel 1. </w:t>
      </w:r>
    </w:p>
    <w:p w14:paraId="1A28C1EE" w14:textId="77777777" w:rsidR="009A0A10" w:rsidRDefault="009A0A10">
      <w:pPr>
        <w:spacing w:line="276" w:lineRule="auto"/>
        <w:jc w:val="center"/>
        <w:rPr>
          <w:rFonts w:eastAsiaTheme="minorHAnsi"/>
        </w:rPr>
      </w:pPr>
    </w:p>
    <w:p w14:paraId="28A48D12" w14:textId="77777777" w:rsidR="002F2D25" w:rsidRDefault="00000000">
      <w:pPr>
        <w:spacing w:line="276" w:lineRule="auto"/>
        <w:jc w:val="center"/>
        <w:rPr>
          <w:rFonts w:eastAsiaTheme="minorHAnsi"/>
        </w:rPr>
      </w:pPr>
      <w:r>
        <w:rPr>
          <w:rFonts w:eastAsiaTheme="minorHAnsi"/>
        </w:rPr>
        <w:t>Tabel 1. Uji Fitokimia</w:t>
      </w:r>
    </w:p>
    <w:tbl>
      <w:tblPr>
        <w:tblStyle w:val="TableGrid"/>
        <w:tblW w:w="8356" w:type="dxa"/>
        <w:jc w:val="center"/>
        <w:tblBorders>
          <w:left w:val="none" w:sz="0" w:space="0" w:color="auto"/>
          <w:right w:val="none" w:sz="0" w:space="0" w:color="auto"/>
        </w:tblBorders>
        <w:tblLook w:val="04A0" w:firstRow="1" w:lastRow="0" w:firstColumn="1" w:lastColumn="0" w:noHBand="0" w:noVBand="1"/>
      </w:tblPr>
      <w:tblGrid>
        <w:gridCol w:w="1038"/>
        <w:gridCol w:w="2396"/>
        <w:gridCol w:w="3087"/>
        <w:gridCol w:w="1835"/>
      </w:tblGrid>
      <w:tr w:rsidR="002F2D25" w14:paraId="37B5448D" w14:textId="77777777">
        <w:trPr>
          <w:jc w:val="center"/>
        </w:trPr>
        <w:tc>
          <w:tcPr>
            <w:tcW w:w="1038" w:type="dxa"/>
            <w:tcBorders>
              <w:right w:val="nil"/>
            </w:tcBorders>
          </w:tcPr>
          <w:p w14:paraId="4BC4BB90" w14:textId="77777777" w:rsidR="002F2D25" w:rsidRDefault="00000000" w:rsidP="00886A65">
            <w:pPr>
              <w:spacing w:line="276" w:lineRule="auto"/>
              <w:jc w:val="center"/>
              <w:rPr>
                <w:rFonts w:eastAsiaTheme="minorHAnsi"/>
              </w:rPr>
            </w:pPr>
            <w:r>
              <w:rPr>
                <w:rFonts w:eastAsia="Times New Roman"/>
                <w:bCs/>
                <w:lang w:val="id"/>
              </w:rPr>
              <w:t>Senyawa</w:t>
            </w:r>
          </w:p>
        </w:tc>
        <w:tc>
          <w:tcPr>
            <w:tcW w:w="2396" w:type="dxa"/>
            <w:tcBorders>
              <w:left w:val="nil"/>
              <w:right w:val="nil"/>
            </w:tcBorders>
          </w:tcPr>
          <w:p w14:paraId="555C5CDA" w14:textId="77777777" w:rsidR="002F2D25" w:rsidRDefault="00000000" w:rsidP="00886A65">
            <w:pPr>
              <w:spacing w:line="276" w:lineRule="auto"/>
              <w:jc w:val="center"/>
              <w:rPr>
                <w:rFonts w:eastAsiaTheme="minorHAnsi"/>
              </w:rPr>
            </w:pPr>
            <w:r>
              <w:rPr>
                <w:rFonts w:eastAsia="Times New Roman"/>
                <w:bCs/>
                <w:lang w:val="id"/>
              </w:rPr>
              <w:t>Pereaksi</w:t>
            </w:r>
          </w:p>
        </w:tc>
        <w:tc>
          <w:tcPr>
            <w:tcW w:w="3087" w:type="dxa"/>
            <w:tcBorders>
              <w:left w:val="nil"/>
              <w:right w:val="nil"/>
            </w:tcBorders>
          </w:tcPr>
          <w:p w14:paraId="5362F35B" w14:textId="77777777" w:rsidR="002F2D25" w:rsidRDefault="00000000" w:rsidP="00886A65">
            <w:pPr>
              <w:spacing w:line="276" w:lineRule="auto"/>
              <w:jc w:val="center"/>
              <w:rPr>
                <w:rFonts w:eastAsiaTheme="minorHAnsi"/>
              </w:rPr>
            </w:pPr>
            <w:r>
              <w:rPr>
                <w:rFonts w:eastAsia="Times New Roman"/>
                <w:bCs/>
                <w:lang w:val="id"/>
              </w:rPr>
              <w:t>Perubahan</w:t>
            </w:r>
          </w:p>
        </w:tc>
        <w:tc>
          <w:tcPr>
            <w:tcW w:w="1835" w:type="dxa"/>
            <w:tcBorders>
              <w:left w:val="nil"/>
            </w:tcBorders>
          </w:tcPr>
          <w:p w14:paraId="161ED3EF" w14:textId="77777777" w:rsidR="002F2D25" w:rsidRDefault="00000000" w:rsidP="00886A65">
            <w:pPr>
              <w:spacing w:line="276" w:lineRule="auto"/>
              <w:jc w:val="center"/>
              <w:rPr>
                <w:rFonts w:eastAsiaTheme="minorHAnsi"/>
              </w:rPr>
            </w:pPr>
            <w:r>
              <w:rPr>
                <w:rFonts w:eastAsia="Times New Roman"/>
                <w:bCs/>
                <w:lang w:val="id"/>
              </w:rPr>
              <w:t>Hasil Pemeriksaan</w:t>
            </w:r>
          </w:p>
        </w:tc>
      </w:tr>
      <w:tr w:rsidR="002F2D25" w14:paraId="45D5AAC3" w14:textId="77777777">
        <w:trPr>
          <w:jc w:val="center"/>
        </w:trPr>
        <w:tc>
          <w:tcPr>
            <w:tcW w:w="1038" w:type="dxa"/>
            <w:tcBorders>
              <w:right w:val="nil"/>
            </w:tcBorders>
          </w:tcPr>
          <w:p w14:paraId="4013AF10" w14:textId="77777777" w:rsidR="002F2D25" w:rsidRDefault="00000000" w:rsidP="00886A65">
            <w:pPr>
              <w:spacing w:line="276" w:lineRule="auto"/>
              <w:jc w:val="center"/>
              <w:rPr>
                <w:rFonts w:eastAsiaTheme="minorHAnsi"/>
              </w:rPr>
            </w:pPr>
            <w:r>
              <w:rPr>
                <w:rFonts w:eastAsia="Times New Roman"/>
                <w:bCs/>
                <w:lang w:val="id"/>
              </w:rPr>
              <w:t>Flavonoid</w:t>
            </w:r>
          </w:p>
        </w:tc>
        <w:tc>
          <w:tcPr>
            <w:tcW w:w="2396" w:type="dxa"/>
            <w:tcBorders>
              <w:left w:val="nil"/>
              <w:right w:val="nil"/>
            </w:tcBorders>
          </w:tcPr>
          <w:p w14:paraId="4E2FCA7C" w14:textId="77777777" w:rsidR="002F2D25" w:rsidRDefault="00000000" w:rsidP="00886A65">
            <w:pPr>
              <w:spacing w:line="276" w:lineRule="auto"/>
              <w:jc w:val="center"/>
              <w:rPr>
                <w:rFonts w:eastAsiaTheme="minorHAnsi"/>
              </w:rPr>
            </w:pPr>
            <w:r>
              <w:rPr>
                <w:rFonts w:eastAsia="Times New Roman"/>
                <w:bCs/>
                <w:lang w:val="id"/>
              </w:rPr>
              <w:t>Serbuk Mg + HCI pekat</w:t>
            </w:r>
          </w:p>
        </w:tc>
        <w:tc>
          <w:tcPr>
            <w:tcW w:w="3087" w:type="dxa"/>
            <w:tcBorders>
              <w:left w:val="nil"/>
              <w:right w:val="nil"/>
            </w:tcBorders>
          </w:tcPr>
          <w:p w14:paraId="1A77D070" w14:textId="77777777" w:rsidR="002F2D25" w:rsidRDefault="00000000" w:rsidP="00886A65">
            <w:pPr>
              <w:spacing w:line="276" w:lineRule="auto"/>
              <w:jc w:val="center"/>
              <w:rPr>
                <w:rFonts w:eastAsiaTheme="minorHAnsi"/>
              </w:rPr>
            </w:pPr>
            <w:r>
              <w:rPr>
                <w:rFonts w:eastAsia="Times New Roman"/>
                <w:bCs/>
                <w:lang w:val="id"/>
              </w:rPr>
              <w:t>Larutan berwarna merah</w:t>
            </w:r>
          </w:p>
        </w:tc>
        <w:tc>
          <w:tcPr>
            <w:tcW w:w="1835" w:type="dxa"/>
            <w:tcBorders>
              <w:left w:val="nil"/>
            </w:tcBorders>
          </w:tcPr>
          <w:p w14:paraId="018426EB" w14:textId="77777777" w:rsidR="002F2D25" w:rsidRDefault="00000000" w:rsidP="00886A65">
            <w:pPr>
              <w:spacing w:line="276" w:lineRule="auto"/>
              <w:jc w:val="center"/>
              <w:rPr>
                <w:rFonts w:eastAsiaTheme="minorHAnsi"/>
              </w:rPr>
            </w:pPr>
            <w:r>
              <w:rPr>
                <w:rFonts w:eastAsia="Times New Roman"/>
                <w:bCs/>
                <w:lang w:val="id"/>
              </w:rPr>
              <w:t>Positif (+)</w:t>
            </w:r>
          </w:p>
        </w:tc>
      </w:tr>
      <w:tr w:rsidR="002F2D25" w14:paraId="01F83E84" w14:textId="77777777">
        <w:trPr>
          <w:jc w:val="center"/>
        </w:trPr>
        <w:tc>
          <w:tcPr>
            <w:tcW w:w="1038" w:type="dxa"/>
            <w:tcBorders>
              <w:right w:val="nil"/>
            </w:tcBorders>
          </w:tcPr>
          <w:p w14:paraId="3104C6D2" w14:textId="77777777" w:rsidR="002F2D25" w:rsidRDefault="00000000" w:rsidP="00886A65">
            <w:pPr>
              <w:spacing w:line="276" w:lineRule="auto"/>
              <w:jc w:val="center"/>
              <w:rPr>
                <w:rFonts w:eastAsiaTheme="minorHAnsi"/>
              </w:rPr>
            </w:pPr>
            <w:r>
              <w:rPr>
                <w:rFonts w:eastAsia="Times New Roman"/>
                <w:bCs/>
                <w:lang w:val="id"/>
              </w:rPr>
              <w:t>Tanin</w:t>
            </w:r>
          </w:p>
        </w:tc>
        <w:tc>
          <w:tcPr>
            <w:tcW w:w="2396" w:type="dxa"/>
            <w:tcBorders>
              <w:left w:val="nil"/>
              <w:right w:val="nil"/>
            </w:tcBorders>
          </w:tcPr>
          <w:p w14:paraId="1F4C2C46" w14:textId="77777777" w:rsidR="002F2D25" w:rsidRDefault="00000000" w:rsidP="00886A65">
            <w:pPr>
              <w:spacing w:line="276" w:lineRule="auto"/>
              <w:jc w:val="center"/>
              <w:rPr>
                <w:rFonts w:eastAsiaTheme="minorHAnsi"/>
              </w:rPr>
            </w:pPr>
            <w:r>
              <w:rPr>
                <w:rFonts w:eastAsia="Times New Roman"/>
                <w:bCs/>
                <w:lang w:val="id"/>
              </w:rPr>
              <w:t>FeCI</w:t>
            </w:r>
            <w:r>
              <w:rPr>
                <w:rFonts w:eastAsia="Times New Roman"/>
                <w:bCs/>
                <w:vertAlign w:val="subscript"/>
                <w:lang w:val="id"/>
              </w:rPr>
              <w:t xml:space="preserve">3 </w:t>
            </w:r>
          </w:p>
        </w:tc>
        <w:tc>
          <w:tcPr>
            <w:tcW w:w="3087" w:type="dxa"/>
            <w:tcBorders>
              <w:left w:val="nil"/>
              <w:right w:val="nil"/>
            </w:tcBorders>
          </w:tcPr>
          <w:p w14:paraId="484B45EE" w14:textId="77777777" w:rsidR="002F2D25" w:rsidRDefault="00000000" w:rsidP="00886A65">
            <w:pPr>
              <w:spacing w:line="276" w:lineRule="auto"/>
              <w:jc w:val="center"/>
              <w:rPr>
                <w:rFonts w:eastAsiaTheme="minorHAnsi"/>
                <w:lang w:val="fi-FI"/>
              </w:rPr>
            </w:pPr>
            <w:r>
              <w:rPr>
                <w:rFonts w:eastAsia="Times New Roman"/>
                <w:bCs/>
                <w:lang w:val="id"/>
              </w:rPr>
              <w:t>Larutan hitam kehijauan</w:t>
            </w:r>
          </w:p>
        </w:tc>
        <w:tc>
          <w:tcPr>
            <w:tcW w:w="1835" w:type="dxa"/>
            <w:tcBorders>
              <w:left w:val="nil"/>
            </w:tcBorders>
          </w:tcPr>
          <w:p w14:paraId="0AC6A6C3" w14:textId="77777777" w:rsidR="002F2D25" w:rsidRDefault="00000000" w:rsidP="00886A65">
            <w:pPr>
              <w:spacing w:line="276" w:lineRule="auto"/>
              <w:jc w:val="center"/>
              <w:rPr>
                <w:rFonts w:eastAsiaTheme="minorHAnsi"/>
              </w:rPr>
            </w:pPr>
            <w:r>
              <w:rPr>
                <w:rFonts w:eastAsia="Times New Roman"/>
                <w:bCs/>
                <w:lang w:val="id"/>
              </w:rPr>
              <w:t>Positif (+)</w:t>
            </w:r>
          </w:p>
        </w:tc>
      </w:tr>
      <w:tr w:rsidR="002F2D25" w14:paraId="43DB0D30" w14:textId="77777777">
        <w:trPr>
          <w:jc w:val="center"/>
        </w:trPr>
        <w:tc>
          <w:tcPr>
            <w:tcW w:w="1038" w:type="dxa"/>
            <w:tcBorders>
              <w:right w:val="nil"/>
            </w:tcBorders>
          </w:tcPr>
          <w:p w14:paraId="2B82FFDB" w14:textId="77777777" w:rsidR="002F2D25" w:rsidRDefault="00000000" w:rsidP="00886A65">
            <w:pPr>
              <w:spacing w:line="276" w:lineRule="auto"/>
              <w:jc w:val="center"/>
              <w:rPr>
                <w:rFonts w:eastAsiaTheme="minorHAnsi"/>
              </w:rPr>
            </w:pPr>
            <w:r>
              <w:rPr>
                <w:rFonts w:eastAsia="Times New Roman"/>
                <w:bCs/>
                <w:lang w:val="id"/>
              </w:rPr>
              <w:t>Saponin</w:t>
            </w:r>
          </w:p>
        </w:tc>
        <w:tc>
          <w:tcPr>
            <w:tcW w:w="2396" w:type="dxa"/>
            <w:tcBorders>
              <w:left w:val="nil"/>
              <w:right w:val="nil"/>
            </w:tcBorders>
          </w:tcPr>
          <w:p w14:paraId="5B9E4D59" w14:textId="77777777" w:rsidR="002F2D25" w:rsidRDefault="00000000" w:rsidP="00886A65">
            <w:pPr>
              <w:spacing w:line="276" w:lineRule="auto"/>
              <w:jc w:val="center"/>
              <w:rPr>
                <w:rFonts w:eastAsiaTheme="minorHAnsi"/>
              </w:rPr>
            </w:pPr>
            <w:r>
              <w:rPr>
                <w:rFonts w:eastAsia="Times New Roman"/>
                <w:bCs/>
                <w:lang w:val="id"/>
              </w:rPr>
              <w:t>Auadest + HCI</w:t>
            </w:r>
          </w:p>
        </w:tc>
        <w:tc>
          <w:tcPr>
            <w:tcW w:w="3087" w:type="dxa"/>
            <w:tcBorders>
              <w:left w:val="nil"/>
              <w:right w:val="nil"/>
            </w:tcBorders>
          </w:tcPr>
          <w:p w14:paraId="630A498A" w14:textId="77777777" w:rsidR="002F2D25" w:rsidRDefault="00000000" w:rsidP="00886A65">
            <w:pPr>
              <w:spacing w:line="276" w:lineRule="auto"/>
              <w:jc w:val="center"/>
              <w:rPr>
                <w:rFonts w:eastAsiaTheme="minorHAnsi"/>
              </w:rPr>
            </w:pPr>
            <w:r>
              <w:rPr>
                <w:rFonts w:eastAsia="Times New Roman"/>
                <w:bCs/>
                <w:lang w:val="id"/>
              </w:rPr>
              <w:t>Munculnya buih konstan</w:t>
            </w:r>
          </w:p>
        </w:tc>
        <w:tc>
          <w:tcPr>
            <w:tcW w:w="1835" w:type="dxa"/>
            <w:tcBorders>
              <w:left w:val="nil"/>
            </w:tcBorders>
          </w:tcPr>
          <w:p w14:paraId="1CB416CA" w14:textId="77777777" w:rsidR="002F2D25" w:rsidRDefault="00000000" w:rsidP="00886A65">
            <w:pPr>
              <w:spacing w:line="276" w:lineRule="auto"/>
              <w:jc w:val="center"/>
              <w:rPr>
                <w:rFonts w:eastAsiaTheme="minorHAnsi"/>
              </w:rPr>
            </w:pPr>
            <w:r>
              <w:rPr>
                <w:rFonts w:eastAsia="Times New Roman"/>
                <w:bCs/>
                <w:lang w:val="id"/>
              </w:rPr>
              <w:t>Positif (+)</w:t>
            </w:r>
          </w:p>
        </w:tc>
      </w:tr>
      <w:tr w:rsidR="002F2D25" w14:paraId="68EDF0CB" w14:textId="77777777">
        <w:trPr>
          <w:jc w:val="center"/>
        </w:trPr>
        <w:tc>
          <w:tcPr>
            <w:tcW w:w="1038" w:type="dxa"/>
            <w:tcBorders>
              <w:right w:val="nil"/>
            </w:tcBorders>
          </w:tcPr>
          <w:p w14:paraId="4595C10E" w14:textId="77777777" w:rsidR="002F2D25" w:rsidRDefault="00000000" w:rsidP="00886A65">
            <w:pPr>
              <w:spacing w:line="276" w:lineRule="auto"/>
              <w:jc w:val="center"/>
              <w:rPr>
                <w:rFonts w:eastAsiaTheme="minorHAnsi"/>
              </w:rPr>
            </w:pPr>
            <w:r>
              <w:rPr>
                <w:rFonts w:eastAsia="Times New Roman"/>
                <w:bCs/>
                <w:lang w:val="id"/>
              </w:rPr>
              <w:t>Alkaloid</w:t>
            </w:r>
          </w:p>
        </w:tc>
        <w:tc>
          <w:tcPr>
            <w:tcW w:w="2396" w:type="dxa"/>
            <w:tcBorders>
              <w:left w:val="nil"/>
              <w:right w:val="nil"/>
            </w:tcBorders>
          </w:tcPr>
          <w:p w14:paraId="1D1C0F07" w14:textId="77777777" w:rsidR="002F2D25" w:rsidRDefault="00000000" w:rsidP="00886A65">
            <w:pPr>
              <w:spacing w:line="276" w:lineRule="auto"/>
              <w:jc w:val="center"/>
              <w:rPr>
                <w:rFonts w:eastAsiaTheme="minorHAnsi"/>
                <w:i/>
                <w:iCs/>
              </w:rPr>
            </w:pPr>
            <w:r>
              <w:rPr>
                <w:rFonts w:eastAsiaTheme="minorHAnsi"/>
                <w:i/>
                <w:iCs/>
              </w:rPr>
              <w:t>Dragendorff</w:t>
            </w:r>
          </w:p>
        </w:tc>
        <w:tc>
          <w:tcPr>
            <w:tcW w:w="3087" w:type="dxa"/>
            <w:tcBorders>
              <w:left w:val="nil"/>
              <w:right w:val="nil"/>
            </w:tcBorders>
          </w:tcPr>
          <w:p w14:paraId="58794A52" w14:textId="77777777" w:rsidR="002F2D25" w:rsidRDefault="00000000" w:rsidP="00886A65">
            <w:pPr>
              <w:spacing w:line="276" w:lineRule="auto"/>
              <w:jc w:val="center"/>
              <w:rPr>
                <w:rFonts w:eastAsiaTheme="minorHAnsi"/>
              </w:rPr>
            </w:pPr>
            <w:r>
              <w:rPr>
                <w:rFonts w:eastAsia="Times New Roman"/>
                <w:bCs/>
                <w:lang w:val="id"/>
              </w:rPr>
              <w:t>Endapan berwarna jingga</w:t>
            </w:r>
          </w:p>
        </w:tc>
        <w:tc>
          <w:tcPr>
            <w:tcW w:w="1835" w:type="dxa"/>
            <w:tcBorders>
              <w:left w:val="nil"/>
            </w:tcBorders>
          </w:tcPr>
          <w:p w14:paraId="40251045" w14:textId="77777777" w:rsidR="002F2D25" w:rsidRDefault="00000000" w:rsidP="00886A65">
            <w:pPr>
              <w:spacing w:line="276" w:lineRule="auto"/>
              <w:jc w:val="center"/>
              <w:rPr>
                <w:rFonts w:eastAsiaTheme="minorHAnsi"/>
              </w:rPr>
            </w:pPr>
            <w:r>
              <w:rPr>
                <w:rFonts w:eastAsia="Times New Roman"/>
                <w:bCs/>
                <w:lang w:val="id"/>
              </w:rPr>
              <w:t>Positif (+)</w:t>
            </w:r>
          </w:p>
        </w:tc>
      </w:tr>
      <w:tr w:rsidR="002F2D25" w14:paraId="022AFAE8" w14:textId="77777777">
        <w:trPr>
          <w:jc w:val="center"/>
        </w:trPr>
        <w:tc>
          <w:tcPr>
            <w:tcW w:w="1038" w:type="dxa"/>
            <w:tcBorders>
              <w:right w:val="nil"/>
            </w:tcBorders>
          </w:tcPr>
          <w:p w14:paraId="0B3B91C3" w14:textId="77777777" w:rsidR="002F2D25" w:rsidRDefault="00000000" w:rsidP="00886A65">
            <w:pPr>
              <w:spacing w:line="276" w:lineRule="auto"/>
              <w:jc w:val="center"/>
              <w:rPr>
                <w:rFonts w:eastAsia="Times New Roman"/>
                <w:bCs/>
                <w:lang w:val="id"/>
              </w:rPr>
            </w:pPr>
            <w:r>
              <w:rPr>
                <w:rFonts w:eastAsia="Times New Roman"/>
                <w:bCs/>
                <w:lang w:val="id"/>
              </w:rPr>
              <w:t>Steroid</w:t>
            </w:r>
          </w:p>
        </w:tc>
        <w:tc>
          <w:tcPr>
            <w:tcW w:w="2396" w:type="dxa"/>
            <w:tcBorders>
              <w:left w:val="nil"/>
              <w:right w:val="nil"/>
            </w:tcBorders>
          </w:tcPr>
          <w:p w14:paraId="07539C8B" w14:textId="77777777" w:rsidR="002F2D25" w:rsidRDefault="00000000" w:rsidP="00886A65">
            <w:pPr>
              <w:spacing w:line="276" w:lineRule="auto"/>
              <w:jc w:val="center"/>
              <w:rPr>
                <w:rFonts w:eastAsiaTheme="minorHAnsi"/>
                <w:i/>
                <w:iCs/>
              </w:rPr>
            </w:pPr>
            <w:r>
              <w:rPr>
                <w:rFonts w:eastAsiaTheme="minorHAnsi"/>
                <w:i/>
                <w:iCs/>
              </w:rPr>
              <w:t>Liebermann Burchard</w:t>
            </w:r>
          </w:p>
        </w:tc>
        <w:tc>
          <w:tcPr>
            <w:tcW w:w="3087" w:type="dxa"/>
            <w:tcBorders>
              <w:left w:val="nil"/>
              <w:right w:val="nil"/>
            </w:tcBorders>
          </w:tcPr>
          <w:p w14:paraId="2DA9248A" w14:textId="77777777" w:rsidR="002F2D25" w:rsidRDefault="00000000" w:rsidP="00886A65">
            <w:pPr>
              <w:spacing w:line="276" w:lineRule="auto"/>
              <w:jc w:val="center"/>
              <w:rPr>
                <w:rFonts w:eastAsia="Times New Roman"/>
                <w:bCs/>
                <w:lang w:val="id"/>
              </w:rPr>
            </w:pPr>
            <w:r>
              <w:rPr>
                <w:rFonts w:eastAsia="Times New Roman"/>
                <w:bCs/>
                <w:lang w:val="id"/>
              </w:rPr>
              <w:t>Tidak muncul cincin hijau</w:t>
            </w:r>
          </w:p>
        </w:tc>
        <w:tc>
          <w:tcPr>
            <w:tcW w:w="1835" w:type="dxa"/>
            <w:tcBorders>
              <w:left w:val="nil"/>
            </w:tcBorders>
          </w:tcPr>
          <w:p w14:paraId="4CEB83C5" w14:textId="77777777" w:rsidR="002F2D25" w:rsidRDefault="00000000" w:rsidP="00886A65">
            <w:pPr>
              <w:spacing w:line="276" w:lineRule="auto"/>
              <w:jc w:val="center"/>
              <w:rPr>
                <w:rFonts w:eastAsia="Times New Roman"/>
                <w:bCs/>
                <w:lang w:val="id"/>
              </w:rPr>
            </w:pPr>
            <w:r>
              <w:rPr>
                <w:rFonts w:eastAsia="Times New Roman"/>
                <w:bCs/>
                <w:lang w:val="id"/>
              </w:rPr>
              <w:t>Negatif (-)</w:t>
            </w:r>
          </w:p>
        </w:tc>
      </w:tr>
    </w:tbl>
    <w:p w14:paraId="45E83DB2" w14:textId="77777777" w:rsidR="002F2D25" w:rsidRDefault="002F2D25">
      <w:pPr>
        <w:spacing w:line="276" w:lineRule="auto"/>
        <w:jc w:val="center"/>
        <w:rPr>
          <w:rFonts w:eastAsiaTheme="minorHAnsi"/>
        </w:rPr>
      </w:pPr>
    </w:p>
    <w:p w14:paraId="79939DF8" w14:textId="77777777" w:rsidR="002F2D25" w:rsidRDefault="00000000">
      <w:pPr>
        <w:spacing w:line="276" w:lineRule="auto"/>
        <w:jc w:val="both"/>
        <w:rPr>
          <w:rFonts w:eastAsiaTheme="minorHAnsi"/>
        </w:rPr>
      </w:pPr>
      <w:r>
        <w:rPr>
          <w:rFonts w:eastAsiaTheme="minorHAnsi"/>
        </w:rPr>
        <w:t>Tabel 1 menjelaskan bahwa ekstrak daun teh hijau mengandung metabolit sekunder seperti flavonoid, tanin, saponin, dan alkaloid</w:t>
      </w:r>
      <w:r w:rsidR="009A0A10">
        <w:rPr>
          <w:rFonts w:eastAsiaTheme="minorHAnsi"/>
        </w:rPr>
        <w:t xml:space="preserve">. </w:t>
      </w:r>
      <w:r>
        <w:rPr>
          <w:rFonts w:eastAsiaTheme="minorHAnsi"/>
        </w:rPr>
        <w:t>Sebaliknya diketahui bahwa ekstrak daun hijau tidak mengandung senyawa steroid karena tidak men</w:t>
      </w:r>
      <w:r w:rsidR="009A0A10">
        <w:rPr>
          <w:rFonts w:eastAsiaTheme="minorHAnsi"/>
        </w:rPr>
        <w:t>unjukkan perubahan.</w:t>
      </w:r>
      <w:r>
        <w:rPr>
          <w:rFonts w:eastAsiaTheme="minorHAnsi"/>
        </w:rPr>
        <w:t xml:space="preserve"> </w:t>
      </w:r>
    </w:p>
    <w:p w14:paraId="2F202ECD" w14:textId="77777777" w:rsidR="002F2D25" w:rsidRDefault="002F2D25">
      <w:pPr>
        <w:spacing w:line="276" w:lineRule="auto"/>
        <w:jc w:val="both"/>
        <w:rPr>
          <w:rFonts w:eastAsiaTheme="minorHAnsi"/>
        </w:rPr>
      </w:pPr>
    </w:p>
    <w:p w14:paraId="00B0441F" w14:textId="77777777" w:rsidR="002F2D25" w:rsidRDefault="00000000">
      <w:pPr>
        <w:spacing w:line="276" w:lineRule="auto"/>
        <w:jc w:val="both"/>
        <w:rPr>
          <w:rFonts w:eastAsiaTheme="minorHAnsi"/>
          <w:b/>
          <w:bCs/>
        </w:rPr>
      </w:pPr>
      <w:r>
        <w:rPr>
          <w:rFonts w:eastAsiaTheme="minorHAnsi"/>
          <w:b/>
          <w:bCs/>
        </w:rPr>
        <w:t>Formulasi dan Uji Karakteristik Sediaan</w:t>
      </w:r>
    </w:p>
    <w:p w14:paraId="0531FDFB" w14:textId="77777777" w:rsidR="002F2D25" w:rsidRDefault="00000000">
      <w:pPr>
        <w:spacing w:line="276" w:lineRule="auto"/>
        <w:jc w:val="both"/>
        <w:rPr>
          <w:rFonts w:eastAsiaTheme="minorHAnsi"/>
        </w:rPr>
      </w:pPr>
      <w:r>
        <w:rPr>
          <w:rFonts w:eastAsiaTheme="minorHAnsi"/>
        </w:rPr>
        <w:t xml:space="preserve">Pembuatan sediaan gel tabir surya ekstrak daun teh hijau dihasilkan dalam 4 jenis formulasi, yang mana masing-masing formulasi diberikan ekstrak kering daun teh hijau kering sebanyak 0% (F0), 5% (F1), 10% (F2), 15% (F3) seperti yang tersaji pada gambar 1. </w:t>
      </w:r>
    </w:p>
    <w:p w14:paraId="69E939CF" w14:textId="77777777" w:rsidR="002F2D25" w:rsidRDefault="002F2D25">
      <w:pPr>
        <w:spacing w:line="276" w:lineRule="auto"/>
        <w:jc w:val="both"/>
        <w:rPr>
          <w:rFonts w:eastAsiaTheme="minorHAnsi"/>
          <w:b/>
          <w:bCs/>
        </w:rPr>
      </w:pPr>
    </w:p>
    <w:p w14:paraId="335BA54E" w14:textId="77777777" w:rsidR="002F2D25" w:rsidRDefault="00000000">
      <w:pPr>
        <w:spacing w:line="276" w:lineRule="auto"/>
        <w:jc w:val="center"/>
        <w:rPr>
          <w:rFonts w:eastAsiaTheme="minorHAnsi"/>
          <w:b/>
          <w:bCs/>
        </w:rPr>
      </w:pPr>
      <w:r>
        <w:rPr>
          <w:rFonts w:eastAsiaTheme="minorHAnsi"/>
          <w:b/>
          <w:bCs/>
          <w:noProof/>
        </w:rPr>
        <w:drawing>
          <wp:inline distT="0" distB="0" distL="0" distR="0" wp14:anchorId="7344F326" wp14:editId="4DCD2C42">
            <wp:extent cx="1670634" cy="1638300"/>
            <wp:effectExtent l="0" t="0" r="6350" b="0"/>
            <wp:docPr id="1883362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62905" name="Picture 1"/>
                    <pic:cNvPicPr>
                      <a:picLocks noChangeAspect="1"/>
                    </pic:cNvPicPr>
                  </pic:nvPicPr>
                  <pic:blipFill>
                    <a:blip r:embed="rId10"/>
                    <a:stretch>
                      <a:fillRect/>
                    </a:stretch>
                  </pic:blipFill>
                  <pic:spPr>
                    <a:xfrm>
                      <a:off x="0" y="0"/>
                      <a:ext cx="1697087" cy="1664241"/>
                    </a:xfrm>
                    <a:prstGeom prst="rect">
                      <a:avLst/>
                    </a:prstGeom>
                  </pic:spPr>
                </pic:pic>
              </a:graphicData>
            </a:graphic>
          </wp:inline>
        </w:drawing>
      </w:r>
    </w:p>
    <w:p w14:paraId="5DE17986" w14:textId="77777777" w:rsidR="002F2D25" w:rsidRDefault="00000000">
      <w:pPr>
        <w:spacing w:line="276" w:lineRule="auto"/>
        <w:jc w:val="center"/>
        <w:rPr>
          <w:rFonts w:eastAsiaTheme="minorHAnsi"/>
        </w:rPr>
      </w:pPr>
      <w:r>
        <w:rPr>
          <w:rFonts w:eastAsiaTheme="minorHAnsi"/>
        </w:rPr>
        <w:t>Gambar 1. Formulasi Sediaan Gel Tabir Surya</w:t>
      </w:r>
    </w:p>
    <w:p w14:paraId="2E0001DE" w14:textId="77777777" w:rsidR="009A0A10" w:rsidRDefault="009A0A10">
      <w:pPr>
        <w:spacing w:line="276" w:lineRule="auto"/>
        <w:jc w:val="center"/>
        <w:rPr>
          <w:rFonts w:eastAsiaTheme="minorHAnsi"/>
        </w:rPr>
      </w:pPr>
    </w:p>
    <w:p w14:paraId="5154629C" w14:textId="77777777" w:rsidR="002F2D25" w:rsidRDefault="00000000">
      <w:pPr>
        <w:spacing w:line="276" w:lineRule="auto"/>
        <w:jc w:val="both"/>
        <w:rPr>
          <w:rFonts w:eastAsiaTheme="minorHAnsi"/>
        </w:rPr>
      </w:pPr>
      <w:r>
        <w:rPr>
          <w:rFonts w:eastAsiaTheme="minorHAnsi"/>
        </w:rPr>
        <w:t xml:space="preserve">Sediaan gel tabir surya yang telah diformulasi dilakukan pengujian secara organoleptis untuk mengetahui bentuk, warna, dan bau sediaan. Pengujian dilakukan setiap minggunya dimulai dari minggu pertama hingga minggu ketiga terhadap semua formulasi, </w:t>
      </w:r>
      <w:r w:rsidR="009A0A10">
        <w:rPr>
          <w:rFonts w:eastAsiaTheme="minorHAnsi"/>
        </w:rPr>
        <w:t xml:space="preserve">seperti yang tampak </w:t>
      </w:r>
      <w:r>
        <w:rPr>
          <w:rFonts w:eastAsiaTheme="minorHAnsi"/>
        </w:rPr>
        <w:t xml:space="preserve">pada tabel 2. </w:t>
      </w:r>
    </w:p>
    <w:p w14:paraId="2D57E705" w14:textId="77777777" w:rsidR="002F2D25" w:rsidRDefault="00000000" w:rsidP="009A0A10">
      <w:pPr>
        <w:spacing w:line="276" w:lineRule="auto"/>
        <w:jc w:val="both"/>
        <w:rPr>
          <w:rFonts w:eastAsiaTheme="minorHAnsi"/>
        </w:rPr>
      </w:pPr>
      <w:r>
        <w:rPr>
          <w:rFonts w:eastAsiaTheme="minorHAnsi"/>
        </w:rPr>
        <w:t xml:space="preserve"> </w:t>
      </w:r>
    </w:p>
    <w:p w14:paraId="20467752" w14:textId="77777777" w:rsidR="00886A65" w:rsidRDefault="00886A65">
      <w:pPr>
        <w:spacing w:line="276" w:lineRule="auto"/>
        <w:jc w:val="center"/>
        <w:rPr>
          <w:rFonts w:eastAsiaTheme="minorHAnsi"/>
          <w:lang w:val="fi-FI"/>
        </w:rPr>
      </w:pPr>
    </w:p>
    <w:p w14:paraId="4A5C49B9" w14:textId="77777777" w:rsidR="002F2D25" w:rsidRDefault="00000000">
      <w:pPr>
        <w:spacing w:line="276" w:lineRule="auto"/>
        <w:jc w:val="center"/>
        <w:rPr>
          <w:rFonts w:eastAsiaTheme="minorHAnsi"/>
        </w:rPr>
      </w:pPr>
      <w:r>
        <w:rPr>
          <w:rFonts w:eastAsiaTheme="minorHAnsi"/>
          <w:lang w:val="fi-FI"/>
        </w:rPr>
        <w:lastRenderedPageBreak/>
        <w:t xml:space="preserve">Tabel 2. </w:t>
      </w:r>
      <w:r>
        <w:rPr>
          <w:rFonts w:eastAsiaTheme="minorHAnsi"/>
        </w:rPr>
        <w:t>Hasil Uji Organoleptis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93"/>
        <w:gridCol w:w="1227"/>
        <w:gridCol w:w="1275"/>
        <w:gridCol w:w="1418"/>
        <w:gridCol w:w="1559"/>
      </w:tblGrid>
      <w:tr w:rsidR="002F2D25" w14:paraId="3C0914C5" w14:textId="77777777">
        <w:trPr>
          <w:jc w:val="center"/>
        </w:trPr>
        <w:tc>
          <w:tcPr>
            <w:tcW w:w="993" w:type="dxa"/>
            <w:tcBorders>
              <w:right w:val="nil"/>
            </w:tcBorders>
            <w:vAlign w:val="center"/>
          </w:tcPr>
          <w:p w14:paraId="51851C3E" w14:textId="77777777" w:rsidR="002F2D25" w:rsidRDefault="00000000" w:rsidP="00886A65">
            <w:pPr>
              <w:spacing w:line="276" w:lineRule="auto"/>
              <w:jc w:val="center"/>
              <w:rPr>
                <w:rFonts w:eastAsiaTheme="minorHAnsi"/>
                <w:lang w:val="zh-CN"/>
              </w:rPr>
            </w:pPr>
            <w:r>
              <w:t>Sediaan</w:t>
            </w:r>
          </w:p>
        </w:tc>
        <w:tc>
          <w:tcPr>
            <w:tcW w:w="1227" w:type="dxa"/>
            <w:tcBorders>
              <w:left w:val="nil"/>
              <w:right w:val="nil"/>
            </w:tcBorders>
            <w:vAlign w:val="center"/>
          </w:tcPr>
          <w:p w14:paraId="7A994EC9" w14:textId="77777777" w:rsidR="002F2D25" w:rsidRDefault="00000000" w:rsidP="00886A65">
            <w:pPr>
              <w:spacing w:line="276" w:lineRule="auto"/>
              <w:jc w:val="center"/>
              <w:rPr>
                <w:rFonts w:eastAsiaTheme="minorHAnsi"/>
                <w:lang w:val="zh-CN"/>
              </w:rPr>
            </w:pPr>
            <w:r>
              <w:t>Minggu ke-</w:t>
            </w:r>
          </w:p>
        </w:tc>
        <w:tc>
          <w:tcPr>
            <w:tcW w:w="1275" w:type="dxa"/>
            <w:tcBorders>
              <w:left w:val="nil"/>
              <w:right w:val="nil"/>
            </w:tcBorders>
            <w:vAlign w:val="center"/>
          </w:tcPr>
          <w:p w14:paraId="6670742C" w14:textId="77777777" w:rsidR="002F2D25" w:rsidRDefault="00000000" w:rsidP="00886A65">
            <w:pPr>
              <w:spacing w:line="276" w:lineRule="auto"/>
              <w:jc w:val="center"/>
              <w:rPr>
                <w:rFonts w:eastAsiaTheme="minorHAnsi"/>
                <w:lang w:val="zh-CN"/>
              </w:rPr>
            </w:pPr>
            <w:r>
              <w:t>Bentuk</w:t>
            </w:r>
          </w:p>
        </w:tc>
        <w:tc>
          <w:tcPr>
            <w:tcW w:w="1418" w:type="dxa"/>
            <w:tcBorders>
              <w:left w:val="nil"/>
              <w:right w:val="nil"/>
            </w:tcBorders>
            <w:vAlign w:val="center"/>
          </w:tcPr>
          <w:p w14:paraId="03259F45" w14:textId="77777777" w:rsidR="002F2D25" w:rsidRDefault="00000000" w:rsidP="00886A65">
            <w:pPr>
              <w:spacing w:line="276" w:lineRule="auto"/>
              <w:jc w:val="center"/>
              <w:rPr>
                <w:rFonts w:eastAsiaTheme="minorHAnsi"/>
                <w:lang w:val="zh-CN"/>
              </w:rPr>
            </w:pPr>
            <w:r>
              <w:t>Warna</w:t>
            </w:r>
          </w:p>
        </w:tc>
        <w:tc>
          <w:tcPr>
            <w:tcW w:w="1559" w:type="dxa"/>
            <w:tcBorders>
              <w:left w:val="nil"/>
            </w:tcBorders>
            <w:vAlign w:val="center"/>
          </w:tcPr>
          <w:p w14:paraId="555BC107" w14:textId="77777777" w:rsidR="002F2D25" w:rsidRDefault="00000000" w:rsidP="00886A65">
            <w:pPr>
              <w:spacing w:line="276" w:lineRule="auto"/>
              <w:jc w:val="center"/>
              <w:rPr>
                <w:rFonts w:eastAsiaTheme="minorHAnsi"/>
                <w:lang w:val="zh-CN"/>
              </w:rPr>
            </w:pPr>
            <w:r>
              <w:t>Bau</w:t>
            </w:r>
          </w:p>
        </w:tc>
      </w:tr>
      <w:tr w:rsidR="002F2D25" w14:paraId="11CFD807" w14:textId="77777777">
        <w:trPr>
          <w:jc w:val="center"/>
        </w:trPr>
        <w:tc>
          <w:tcPr>
            <w:tcW w:w="993" w:type="dxa"/>
            <w:vMerge w:val="restart"/>
            <w:tcBorders>
              <w:right w:val="nil"/>
            </w:tcBorders>
            <w:vAlign w:val="center"/>
          </w:tcPr>
          <w:p w14:paraId="436E9146" w14:textId="77777777" w:rsidR="002F2D25" w:rsidRDefault="00000000" w:rsidP="00886A65">
            <w:pPr>
              <w:spacing w:line="276" w:lineRule="auto"/>
              <w:jc w:val="center"/>
              <w:rPr>
                <w:rFonts w:eastAsiaTheme="minorHAnsi"/>
                <w:lang w:val="zh-CN"/>
              </w:rPr>
            </w:pPr>
            <w:r>
              <w:t>F0</w:t>
            </w:r>
          </w:p>
          <w:p w14:paraId="03C7FDC1"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2A5E87FE" w14:textId="77777777" w:rsidR="002F2D25" w:rsidRDefault="00000000" w:rsidP="00886A65">
            <w:pPr>
              <w:spacing w:line="276" w:lineRule="auto"/>
              <w:jc w:val="center"/>
              <w:rPr>
                <w:rFonts w:eastAsiaTheme="minorHAnsi"/>
                <w:lang w:val="zh-CN"/>
              </w:rPr>
            </w:pPr>
            <w:r>
              <w:t>I</w:t>
            </w:r>
          </w:p>
        </w:tc>
        <w:tc>
          <w:tcPr>
            <w:tcW w:w="1275" w:type="dxa"/>
            <w:vMerge w:val="restart"/>
            <w:tcBorders>
              <w:left w:val="nil"/>
              <w:right w:val="nil"/>
            </w:tcBorders>
            <w:vAlign w:val="center"/>
          </w:tcPr>
          <w:p w14:paraId="0793DB91" w14:textId="77777777" w:rsidR="002F2D25" w:rsidRDefault="00000000" w:rsidP="00886A65">
            <w:pPr>
              <w:spacing w:line="276" w:lineRule="auto"/>
              <w:jc w:val="center"/>
              <w:rPr>
                <w:rFonts w:eastAsiaTheme="minorHAnsi"/>
                <w:lang w:val="zh-CN"/>
              </w:rPr>
            </w:pPr>
            <w:r>
              <w:t>Semi solid</w:t>
            </w:r>
          </w:p>
        </w:tc>
        <w:tc>
          <w:tcPr>
            <w:tcW w:w="1418" w:type="dxa"/>
            <w:vMerge w:val="restart"/>
            <w:tcBorders>
              <w:left w:val="nil"/>
              <w:right w:val="nil"/>
            </w:tcBorders>
            <w:vAlign w:val="center"/>
          </w:tcPr>
          <w:p w14:paraId="4E5AF74E" w14:textId="77777777" w:rsidR="002F2D25" w:rsidRDefault="00000000" w:rsidP="00886A65">
            <w:pPr>
              <w:spacing w:line="276" w:lineRule="auto"/>
              <w:jc w:val="center"/>
              <w:rPr>
                <w:rFonts w:eastAsiaTheme="minorHAnsi"/>
                <w:lang w:val="zh-CN"/>
              </w:rPr>
            </w:pPr>
            <w:r>
              <w:t>Putih</w:t>
            </w:r>
          </w:p>
        </w:tc>
        <w:tc>
          <w:tcPr>
            <w:tcW w:w="1559" w:type="dxa"/>
            <w:vMerge w:val="restart"/>
            <w:tcBorders>
              <w:left w:val="nil"/>
            </w:tcBorders>
            <w:vAlign w:val="center"/>
          </w:tcPr>
          <w:p w14:paraId="12CE5CEE" w14:textId="77777777" w:rsidR="002F2D25" w:rsidRDefault="00000000" w:rsidP="00886A65">
            <w:pPr>
              <w:spacing w:line="276" w:lineRule="auto"/>
              <w:jc w:val="center"/>
              <w:rPr>
                <w:rFonts w:eastAsiaTheme="minorHAnsi"/>
                <w:lang w:val="zh-CN"/>
              </w:rPr>
            </w:pPr>
            <w:r>
              <w:t>Tidak berbau</w:t>
            </w:r>
          </w:p>
        </w:tc>
      </w:tr>
      <w:tr w:rsidR="002F2D25" w14:paraId="4D6A2DEC" w14:textId="77777777">
        <w:trPr>
          <w:jc w:val="center"/>
        </w:trPr>
        <w:tc>
          <w:tcPr>
            <w:tcW w:w="993" w:type="dxa"/>
            <w:vMerge/>
            <w:tcBorders>
              <w:right w:val="nil"/>
            </w:tcBorders>
            <w:vAlign w:val="center"/>
          </w:tcPr>
          <w:p w14:paraId="6D9F358B"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0FD60DC2" w14:textId="77777777" w:rsidR="002F2D25" w:rsidRDefault="00000000" w:rsidP="00886A65">
            <w:pPr>
              <w:spacing w:line="276" w:lineRule="auto"/>
              <w:jc w:val="center"/>
              <w:rPr>
                <w:rFonts w:eastAsiaTheme="minorHAnsi"/>
                <w:lang w:val="zh-CN"/>
              </w:rPr>
            </w:pPr>
            <w:r>
              <w:t>II</w:t>
            </w:r>
          </w:p>
        </w:tc>
        <w:tc>
          <w:tcPr>
            <w:tcW w:w="1275" w:type="dxa"/>
            <w:vMerge/>
            <w:tcBorders>
              <w:left w:val="nil"/>
              <w:right w:val="nil"/>
            </w:tcBorders>
            <w:vAlign w:val="center"/>
          </w:tcPr>
          <w:p w14:paraId="21DA937C"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5958C4E0"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3D85B47E" w14:textId="77777777" w:rsidR="002F2D25" w:rsidRDefault="002F2D25" w:rsidP="00886A65">
            <w:pPr>
              <w:spacing w:line="276" w:lineRule="auto"/>
              <w:jc w:val="center"/>
              <w:rPr>
                <w:rFonts w:eastAsiaTheme="minorHAnsi"/>
                <w:lang w:val="zh-CN"/>
              </w:rPr>
            </w:pPr>
          </w:p>
        </w:tc>
      </w:tr>
      <w:tr w:rsidR="002F2D25" w14:paraId="51EC0C27" w14:textId="77777777">
        <w:trPr>
          <w:jc w:val="center"/>
        </w:trPr>
        <w:tc>
          <w:tcPr>
            <w:tcW w:w="993" w:type="dxa"/>
            <w:vMerge/>
            <w:tcBorders>
              <w:right w:val="nil"/>
            </w:tcBorders>
            <w:vAlign w:val="center"/>
          </w:tcPr>
          <w:p w14:paraId="7D70A301"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652A4942" w14:textId="77777777" w:rsidR="002F2D25" w:rsidRDefault="00000000" w:rsidP="00886A65">
            <w:pPr>
              <w:spacing w:line="276" w:lineRule="auto"/>
              <w:jc w:val="center"/>
              <w:rPr>
                <w:rFonts w:eastAsiaTheme="minorHAnsi"/>
                <w:lang w:val="zh-CN"/>
              </w:rPr>
            </w:pPr>
            <w:r>
              <w:t>III</w:t>
            </w:r>
          </w:p>
        </w:tc>
        <w:tc>
          <w:tcPr>
            <w:tcW w:w="1275" w:type="dxa"/>
            <w:vMerge/>
            <w:tcBorders>
              <w:left w:val="nil"/>
              <w:right w:val="nil"/>
            </w:tcBorders>
            <w:vAlign w:val="center"/>
          </w:tcPr>
          <w:p w14:paraId="22495866"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72D0F859"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55D4707B" w14:textId="77777777" w:rsidR="002F2D25" w:rsidRDefault="002F2D25" w:rsidP="00886A65">
            <w:pPr>
              <w:spacing w:line="276" w:lineRule="auto"/>
              <w:jc w:val="center"/>
              <w:rPr>
                <w:rFonts w:eastAsiaTheme="minorHAnsi"/>
                <w:lang w:val="zh-CN"/>
              </w:rPr>
            </w:pPr>
          </w:p>
        </w:tc>
      </w:tr>
      <w:tr w:rsidR="002F2D25" w14:paraId="6F07E440" w14:textId="77777777">
        <w:trPr>
          <w:jc w:val="center"/>
        </w:trPr>
        <w:tc>
          <w:tcPr>
            <w:tcW w:w="993" w:type="dxa"/>
            <w:vMerge w:val="restart"/>
            <w:tcBorders>
              <w:right w:val="nil"/>
            </w:tcBorders>
            <w:vAlign w:val="center"/>
          </w:tcPr>
          <w:p w14:paraId="679B1C77" w14:textId="77777777" w:rsidR="002F2D25" w:rsidRDefault="00000000" w:rsidP="00886A65">
            <w:pPr>
              <w:spacing w:line="276" w:lineRule="auto"/>
              <w:jc w:val="center"/>
              <w:rPr>
                <w:rFonts w:eastAsiaTheme="minorHAnsi"/>
                <w:lang w:val="zh-CN"/>
              </w:rPr>
            </w:pPr>
            <w:r>
              <w:t>F1</w:t>
            </w:r>
          </w:p>
          <w:p w14:paraId="449FFB70"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487DDB58" w14:textId="77777777" w:rsidR="002F2D25" w:rsidRDefault="00000000" w:rsidP="00886A65">
            <w:pPr>
              <w:spacing w:line="276" w:lineRule="auto"/>
              <w:jc w:val="center"/>
              <w:rPr>
                <w:rFonts w:eastAsiaTheme="minorHAnsi"/>
                <w:lang w:val="zh-CN"/>
              </w:rPr>
            </w:pPr>
            <w:r>
              <w:t>I</w:t>
            </w:r>
          </w:p>
        </w:tc>
        <w:tc>
          <w:tcPr>
            <w:tcW w:w="1275" w:type="dxa"/>
            <w:vMerge w:val="restart"/>
            <w:tcBorders>
              <w:left w:val="nil"/>
              <w:right w:val="nil"/>
            </w:tcBorders>
            <w:vAlign w:val="center"/>
          </w:tcPr>
          <w:p w14:paraId="1F5488C7" w14:textId="77777777" w:rsidR="002F2D25" w:rsidRDefault="00000000" w:rsidP="00886A65">
            <w:pPr>
              <w:spacing w:line="276" w:lineRule="auto"/>
              <w:jc w:val="center"/>
              <w:rPr>
                <w:rFonts w:eastAsiaTheme="minorHAnsi"/>
                <w:lang w:val="zh-CN"/>
              </w:rPr>
            </w:pPr>
            <w:r>
              <w:t>Semi solid</w:t>
            </w:r>
          </w:p>
        </w:tc>
        <w:tc>
          <w:tcPr>
            <w:tcW w:w="1418" w:type="dxa"/>
            <w:vMerge w:val="restart"/>
            <w:tcBorders>
              <w:left w:val="nil"/>
              <w:right w:val="nil"/>
            </w:tcBorders>
            <w:vAlign w:val="center"/>
          </w:tcPr>
          <w:p w14:paraId="090FEA8D" w14:textId="77777777" w:rsidR="002F2D25" w:rsidRDefault="00000000" w:rsidP="00886A65">
            <w:pPr>
              <w:spacing w:line="276" w:lineRule="auto"/>
              <w:jc w:val="center"/>
              <w:rPr>
                <w:rFonts w:eastAsiaTheme="minorHAnsi"/>
                <w:lang w:val="zh-CN"/>
              </w:rPr>
            </w:pPr>
            <w:r>
              <w:t>Coklat</w:t>
            </w:r>
          </w:p>
        </w:tc>
        <w:tc>
          <w:tcPr>
            <w:tcW w:w="1559" w:type="dxa"/>
            <w:vMerge w:val="restart"/>
            <w:tcBorders>
              <w:left w:val="nil"/>
            </w:tcBorders>
            <w:vAlign w:val="center"/>
          </w:tcPr>
          <w:p w14:paraId="42A5D5CD" w14:textId="77777777" w:rsidR="002F2D25" w:rsidRDefault="00000000" w:rsidP="00886A65">
            <w:pPr>
              <w:spacing w:line="276" w:lineRule="auto"/>
              <w:jc w:val="center"/>
              <w:rPr>
                <w:rFonts w:eastAsiaTheme="minorHAnsi"/>
                <w:lang w:val="zh-CN"/>
              </w:rPr>
            </w:pPr>
            <w:r>
              <w:t>Aroma teh</w:t>
            </w:r>
          </w:p>
        </w:tc>
      </w:tr>
      <w:tr w:rsidR="002F2D25" w14:paraId="0533A341" w14:textId="77777777">
        <w:trPr>
          <w:jc w:val="center"/>
        </w:trPr>
        <w:tc>
          <w:tcPr>
            <w:tcW w:w="993" w:type="dxa"/>
            <w:vMerge/>
            <w:tcBorders>
              <w:right w:val="nil"/>
            </w:tcBorders>
            <w:vAlign w:val="center"/>
          </w:tcPr>
          <w:p w14:paraId="1CCC4FBB"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651B82BC" w14:textId="77777777" w:rsidR="002F2D25" w:rsidRDefault="00000000" w:rsidP="00886A65">
            <w:pPr>
              <w:spacing w:line="276" w:lineRule="auto"/>
              <w:jc w:val="center"/>
              <w:rPr>
                <w:rFonts w:eastAsiaTheme="minorHAnsi"/>
                <w:lang w:val="zh-CN"/>
              </w:rPr>
            </w:pPr>
            <w:r>
              <w:t>II</w:t>
            </w:r>
          </w:p>
        </w:tc>
        <w:tc>
          <w:tcPr>
            <w:tcW w:w="1275" w:type="dxa"/>
            <w:vMerge/>
            <w:tcBorders>
              <w:left w:val="nil"/>
              <w:right w:val="nil"/>
            </w:tcBorders>
            <w:vAlign w:val="center"/>
          </w:tcPr>
          <w:p w14:paraId="6B736346"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44B473BC"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59C8BE26" w14:textId="77777777" w:rsidR="002F2D25" w:rsidRDefault="002F2D25" w:rsidP="00886A65">
            <w:pPr>
              <w:spacing w:line="276" w:lineRule="auto"/>
              <w:jc w:val="center"/>
              <w:rPr>
                <w:rFonts w:eastAsiaTheme="minorHAnsi"/>
                <w:lang w:val="zh-CN"/>
              </w:rPr>
            </w:pPr>
          </w:p>
        </w:tc>
      </w:tr>
      <w:tr w:rsidR="002F2D25" w14:paraId="36F7B5A8" w14:textId="77777777">
        <w:trPr>
          <w:jc w:val="center"/>
        </w:trPr>
        <w:tc>
          <w:tcPr>
            <w:tcW w:w="993" w:type="dxa"/>
            <w:vMerge/>
            <w:tcBorders>
              <w:right w:val="nil"/>
            </w:tcBorders>
            <w:vAlign w:val="center"/>
          </w:tcPr>
          <w:p w14:paraId="290ABA39"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1B96ECBC" w14:textId="77777777" w:rsidR="002F2D25" w:rsidRDefault="00000000" w:rsidP="00886A65">
            <w:pPr>
              <w:spacing w:line="276" w:lineRule="auto"/>
              <w:jc w:val="center"/>
              <w:rPr>
                <w:rFonts w:eastAsiaTheme="minorHAnsi"/>
                <w:lang w:val="zh-CN"/>
              </w:rPr>
            </w:pPr>
            <w:r>
              <w:t>III</w:t>
            </w:r>
          </w:p>
        </w:tc>
        <w:tc>
          <w:tcPr>
            <w:tcW w:w="1275" w:type="dxa"/>
            <w:vMerge/>
            <w:tcBorders>
              <w:left w:val="nil"/>
              <w:right w:val="nil"/>
            </w:tcBorders>
            <w:vAlign w:val="center"/>
          </w:tcPr>
          <w:p w14:paraId="08049B7A"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33CD4D1F"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661461C5" w14:textId="77777777" w:rsidR="002F2D25" w:rsidRDefault="002F2D25" w:rsidP="00886A65">
            <w:pPr>
              <w:spacing w:line="276" w:lineRule="auto"/>
              <w:jc w:val="center"/>
              <w:rPr>
                <w:rFonts w:eastAsiaTheme="minorHAnsi"/>
                <w:lang w:val="zh-CN"/>
              </w:rPr>
            </w:pPr>
          </w:p>
        </w:tc>
      </w:tr>
      <w:tr w:rsidR="002F2D25" w14:paraId="7126BD05" w14:textId="77777777">
        <w:trPr>
          <w:jc w:val="center"/>
        </w:trPr>
        <w:tc>
          <w:tcPr>
            <w:tcW w:w="993" w:type="dxa"/>
            <w:vMerge w:val="restart"/>
            <w:tcBorders>
              <w:right w:val="nil"/>
            </w:tcBorders>
            <w:vAlign w:val="center"/>
          </w:tcPr>
          <w:p w14:paraId="5800C7DE" w14:textId="77777777" w:rsidR="002F2D25" w:rsidRDefault="00000000" w:rsidP="00886A65">
            <w:pPr>
              <w:spacing w:line="276" w:lineRule="auto"/>
              <w:jc w:val="center"/>
              <w:rPr>
                <w:rFonts w:eastAsiaTheme="minorHAnsi"/>
                <w:lang w:val="zh-CN"/>
              </w:rPr>
            </w:pPr>
            <w:r>
              <w:t>F2</w:t>
            </w:r>
          </w:p>
          <w:p w14:paraId="310087AF"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7C621DF6" w14:textId="77777777" w:rsidR="002F2D25" w:rsidRDefault="00000000" w:rsidP="00886A65">
            <w:pPr>
              <w:spacing w:line="276" w:lineRule="auto"/>
              <w:jc w:val="center"/>
              <w:rPr>
                <w:rFonts w:eastAsiaTheme="minorHAnsi"/>
                <w:lang w:val="zh-CN"/>
              </w:rPr>
            </w:pPr>
            <w:r>
              <w:t>I</w:t>
            </w:r>
          </w:p>
        </w:tc>
        <w:tc>
          <w:tcPr>
            <w:tcW w:w="1275" w:type="dxa"/>
            <w:vMerge w:val="restart"/>
            <w:tcBorders>
              <w:left w:val="nil"/>
              <w:right w:val="nil"/>
            </w:tcBorders>
            <w:vAlign w:val="center"/>
          </w:tcPr>
          <w:p w14:paraId="5B245AF4" w14:textId="77777777" w:rsidR="002F2D25" w:rsidRDefault="00000000" w:rsidP="00886A65">
            <w:pPr>
              <w:spacing w:line="276" w:lineRule="auto"/>
              <w:jc w:val="center"/>
              <w:rPr>
                <w:rFonts w:eastAsiaTheme="minorHAnsi"/>
                <w:lang w:val="zh-CN"/>
              </w:rPr>
            </w:pPr>
            <w:r>
              <w:t>Semi solid</w:t>
            </w:r>
          </w:p>
        </w:tc>
        <w:tc>
          <w:tcPr>
            <w:tcW w:w="1418" w:type="dxa"/>
            <w:vMerge w:val="restart"/>
            <w:tcBorders>
              <w:left w:val="nil"/>
              <w:right w:val="nil"/>
            </w:tcBorders>
            <w:vAlign w:val="center"/>
          </w:tcPr>
          <w:p w14:paraId="1CC234C2" w14:textId="77777777" w:rsidR="002F2D25" w:rsidRDefault="00000000" w:rsidP="00886A65">
            <w:pPr>
              <w:spacing w:line="276" w:lineRule="auto"/>
              <w:jc w:val="center"/>
              <w:rPr>
                <w:rFonts w:eastAsiaTheme="minorHAnsi"/>
                <w:lang w:val="zh-CN"/>
              </w:rPr>
            </w:pPr>
            <w:r>
              <w:t>Hitam</w:t>
            </w:r>
          </w:p>
        </w:tc>
        <w:tc>
          <w:tcPr>
            <w:tcW w:w="1559" w:type="dxa"/>
            <w:vMerge w:val="restart"/>
            <w:tcBorders>
              <w:left w:val="nil"/>
            </w:tcBorders>
            <w:vAlign w:val="center"/>
          </w:tcPr>
          <w:p w14:paraId="616EC274" w14:textId="77777777" w:rsidR="002F2D25" w:rsidRDefault="00000000" w:rsidP="00886A65">
            <w:pPr>
              <w:spacing w:line="276" w:lineRule="auto"/>
              <w:jc w:val="center"/>
              <w:rPr>
                <w:rFonts w:eastAsiaTheme="minorHAnsi"/>
                <w:lang w:val="zh-CN"/>
              </w:rPr>
            </w:pPr>
            <w:r>
              <w:t>Aroma teh</w:t>
            </w:r>
          </w:p>
        </w:tc>
      </w:tr>
      <w:tr w:rsidR="002F2D25" w14:paraId="5F0F065E" w14:textId="77777777">
        <w:trPr>
          <w:jc w:val="center"/>
        </w:trPr>
        <w:tc>
          <w:tcPr>
            <w:tcW w:w="993" w:type="dxa"/>
            <w:vMerge/>
            <w:tcBorders>
              <w:right w:val="nil"/>
            </w:tcBorders>
            <w:vAlign w:val="center"/>
          </w:tcPr>
          <w:p w14:paraId="762E63B2"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6CB39FAB" w14:textId="77777777" w:rsidR="002F2D25" w:rsidRDefault="00000000" w:rsidP="00886A65">
            <w:pPr>
              <w:spacing w:line="276" w:lineRule="auto"/>
              <w:jc w:val="center"/>
              <w:rPr>
                <w:rFonts w:eastAsiaTheme="minorHAnsi"/>
                <w:lang w:val="zh-CN"/>
              </w:rPr>
            </w:pPr>
            <w:r>
              <w:t>II</w:t>
            </w:r>
          </w:p>
        </w:tc>
        <w:tc>
          <w:tcPr>
            <w:tcW w:w="1275" w:type="dxa"/>
            <w:vMerge/>
            <w:tcBorders>
              <w:left w:val="nil"/>
              <w:right w:val="nil"/>
            </w:tcBorders>
            <w:vAlign w:val="center"/>
          </w:tcPr>
          <w:p w14:paraId="420154A3"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4818D23F"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7B469D57" w14:textId="77777777" w:rsidR="002F2D25" w:rsidRDefault="002F2D25" w:rsidP="00886A65">
            <w:pPr>
              <w:spacing w:line="276" w:lineRule="auto"/>
              <w:jc w:val="center"/>
              <w:rPr>
                <w:rFonts w:eastAsiaTheme="minorHAnsi"/>
                <w:lang w:val="zh-CN"/>
              </w:rPr>
            </w:pPr>
          </w:p>
        </w:tc>
      </w:tr>
      <w:tr w:rsidR="002F2D25" w14:paraId="66167777" w14:textId="77777777">
        <w:trPr>
          <w:jc w:val="center"/>
        </w:trPr>
        <w:tc>
          <w:tcPr>
            <w:tcW w:w="993" w:type="dxa"/>
            <w:vMerge/>
            <w:tcBorders>
              <w:right w:val="nil"/>
            </w:tcBorders>
            <w:vAlign w:val="center"/>
          </w:tcPr>
          <w:p w14:paraId="5E74366A"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2B585A6C" w14:textId="77777777" w:rsidR="002F2D25" w:rsidRDefault="00000000" w:rsidP="00886A65">
            <w:pPr>
              <w:spacing w:line="276" w:lineRule="auto"/>
              <w:jc w:val="center"/>
              <w:rPr>
                <w:rFonts w:eastAsiaTheme="minorHAnsi"/>
                <w:lang w:val="zh-CN"/>
              </w:rPr>
            </w:pPr>
            <w:r>
              <w:t>III</w:t>
            </w:r>
          </w:p>
        </w:tc>
        <w:tc>
          <w:tcPr>
            <w:tcW w:w="1275" w:type="dxa"/>
            <w:vMerge/>
            <w:tcBorders>
              <w:left w:val="nil"/>
              <w:right w:val="nil"/>
            </w:tcBorders>
            <w:vAlign w:val="center"/>
          </w:tcPr>
          <w:p w14:paraId="7791B9DF"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2C949BA5"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5C23D7B1" w14:textId="77777777" w:rsidR="002F2D25" w:rsidRDefault="002F2D25" w:rsidP="00886A65">
            <w:pPr>
              <w:spacing w:line="276" w:lineRule="auto"/>
              <w:jc w:val="center"/>
              <w:rPr>
                <w:rFonts w:eastAsiaTheme="minorHAnsi"/>
                <w:lang w:val="zh-CN"/>
              </w:rPr>
            </w:pPr>
          </w:p>
        </w:tc>
      </w:tr>
      <w:tr w:rsidR="002F2D25" w14:paraId="7E551DE8" w14:textId="77777777">
        <w:trPr>
          <w:jc w:val="center"/>
        </w:trPr>
        <w:tc>
          <w:tcPr>
            <w:tcW w:w="993" w:type="dxa"/>
            <w:vMerge w:val="restart"/>
            <w:tcBorders>
              <w:right w:val="nil"/>
            </w:tcBorders>
            <w:vAlign w:val="center"/>
          </w:tcPr>
          <w:p w14:paraId="06F20C17" w14:textId="77777777" w:rsidR="002F2D25" w:rsidRDefault="00000000" w:rsidP="00886A65">
            <w:pPr>
              <w:spacing w:line="276" w:lineRule="auto"/>
              <w:jc w:val="center"/>
              <w:rPr>
                <w:rFonts w:eastAsiaTheme="minorHAnsi"/>
                <w:lang w:val="zh-CN"/>
              </w:rPr>
            </w:pPr>
            <w:r>
              <w:t>F3</w:t>
            </w:r>
          </w:p>
          <w:p w14:paraId="0EC68B80"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71E2695D" w14:textId="77777777" w:rsidR="002F2D25" w:rsidRDefault="00000000" w:rsidP="00886A65">
            <w:pPr>
              <w:spacing w:line="276" w:lineRule="auto"/>
              <w:jc w:val="center"/>
              <w:rPr>
                <w:rFonts w:eastAsiaTheme="minorHAnsi"/>
                <w:lang w:val="zh-CN"/>
              </w:rPr>
            </w:pPr>
            <w:r>
              <w:t>I</w:t>
            </w:r>
          </w:p>
        </w:tc>
        <w:tc>
          <w:tcPr>
            <w:tcW w:w="1275" w:type="dxa"/>
            <w:vMerge w:val="restart"/>
            <w:tcBorders>
              <w:left w:val="nil"/>
              <w:right w:val="nil"/>
            </w:tcBorders>
            <w:vAlign w:val="center"/>
          </w:tcPr>
          <w:p w14:paraId="15F11A03" w14:textId="77777777" w:rsidR="002F2D25" w:rsidRDefault="00000000" w:rsidP="00886A65">
            <w:pPr>
              <w:spacing w:line="276" w:lineRule="auto"/>
              <w:jc w:val="center"/>
              <w:rPr>
                <w:rFonts w:eastAsiaTheme="minorHAnsi"/>
                <w:lang w:val="zh-CN"/>
              </w:rPr>
            </w:pPr>
            <w:r>
              <w:t>Semi Solid</w:t>
            </w:r>
          </w:p>
        </w:tc>
        <w:tc>
          <w:tcPr>
            <w:tcW w:w="1418" w:type="dxa"/>
            <w:vMerge w:val="restart"/>
            <w:tcBorders>
              <w:left w:val="nil"/>
              <w:right w:val="nil"/>
            </w:tcBorders>
            <w:vAlign w:val="center"/>
          </w:tcPr>
          <w:p w14:paraId="5D7F9711" w14:textId="77777777" w:rsidR="002F2D25" w:rsidRDefault="00000000" w:rsidP="00886A65">
            <w:pPr>
              <w:spacing w:line="276" w:lineRule="auto"/>
              <w:jc w:val="center"/>
              <w:rPr>
                <w:rFonts w:eastAsiaTheme="minorHAnsi"/>
                <w:lang w:val="zh-CN"/>
              </w:rPr>
            </w:pPr>
            <w:r>
              <w:t>Hitam Pekat</w:t>
            </w:r>
          </w:p>
        </w:tc>
        <w:tc>
          <w:tcPr>
            <w:tcW w:w="1559" w:type="dxa"/>
            <w:vMerge w:val="restart"/>
            <w:tcBorders>
              <w:left w:val="nil"/>
            </w:tcBorders>
            <w:vAlign w:val="center"/>
          </w:tcPr>
          <w:p w14:paraId="02D346F0" w14:textId="77777777" w:rsidR="002F2D25" w:rsidRDefault="00000000" w:rsidP="00886A65">
            <w:pPr>
              <w:spacing w:line="276" w:lineRule="auto"/>
              <w:jc w:val="center"/>
              <w:rPr>
                <w:rFonts w:eastAsiaTheme="minorHAnsi"/>
                <w:lang w:val="zh-CN"/>
              </w:rPr>
            </w:pPr>
            <w:r>
              <w:t>Aroma teh</w:t>
            </w:r>
          </w:p>
        </w:tc>
      </w:tr>
      <w:tr w:rsidR="002F2D25" w14:paraId="0FB1192F" w14:textId="77777777">
        <w:trPr>
          <w:jc w:val="center"/>
        </w:trPr>
        <w:tc>
          <w:tcPr>
            <w:tcW w:w="993" w:type="dxa"/>
            <w:vMerge/>
            <w:tcBorders>
              <w:right w:val="nil"/>
            </w:tcBorders>
            <w:vAlign w:val="center"/>
          </w:tcPr>
          <w:p w14:paraId="22693A62"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39F177C7" w14:textId="77777777" w:rsidR="002F2D25" w:rsidRDefault="00000000" w:rsidP="00886A65">
            <w:pPr>
              <w:spacing w:line="276" w:lineRule="auto"/>
              <w:jc w:val="center"/>
              <w:rPr>
                <w:rFonts w:eastAsiaTheme="minorHAnsi"/>
                <w:lang w:val="zh-CN"/>
              </w:rPr>
            </w:pPr>
            <w:r>
              <w:t>II</w:t>
            </w:r>
          </w:p>
        </w:tc>
        <w:tc>
          <w:tcPr>
            <w:tcW w:w="1275" w:type="dxa"/>
            <w:vMerge/>
            <w:tcBorders>
              <w:left w:val="nil"/>
              <w:right w:val="nil"/>
            </w:tcBorders>
            <w:vAlign w:val="center"/>
          </w:tcPr>
          <w:p w14:paraId="7F8CCD47"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57AC21A4"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01936C5F" w14:textId="77777777" w:rsidR="002F2D25" w:rsidRDefault="002F2D25" w:rsidP="00886A65">
            <w:pPr>
              <w:spacing w:line="276" w:lineRule="auto"/>
              <w:jc w:val="center"/>
              <w:rPr>
                <w:rFonts w:eastAsiaTheme="minorHAnsi"/>
                <w:lang w:val="zh-CN"/>
              </w:rPr>
            </w:pPr>
          </w:p>
        </w:tc>
      </w:tr>
      <w:tr w:rsidR="002F2D25" w14:paraId="6A691042" w14:textId="77777777">
        <w:trPr>
          <w:jc w:val="center"/>
        </w:trPr>
        <w:tc>
          <w:tcPr>
            <w:tcW w:w="993" w:type="dxa"/>
            <w:vMerge/>
            <w:tcBorders>
              <w:right w:val="nil"/>
            </w:tcBorders>
            <w:vAlign w:val="center"/>
          </w:tcPr>
          <w:p w14:paraId="181FDB0C" w14:textId="77777777" w:rsidR="002F2D25" w:rsidRDefault="002F2D25" w:rsidP="00886A65">
            <w:pPr>
              <w:spacing w:line="276" w:lineRule="auto"/>
              <w:jc w:val="center"/>
              <w:rPr>
                <w:rFonts w:eastAsiaTheme="minorHAnsi"/>
                <w:lang w:val="zh-CN"/>
              </w:rPr>
            </w:pPr>
          </w:p>
        </w:tc>
        <w:tc>
          <w:tcPr>
            <w:tcW w:w="1227" w:type="dxa"/>
            <w:tcBorders>
              <w:left w:val="nil"/>
              <w:right w:val="nil"/>
            </w:tcBorders>
            <w:vAlign w:val="center"/>
          </w:tcPr>
          <w:p w14:paraId="19231877" w14:textId="77777777" w:rsidR="002F2D25" w:rsidRDefault="00000000" w:rsidP="00886A65">
            <w:pPr>
              <w:spacing w:line="276" w:lineRule="auto"/>
              <w:jc w:val="center"/>
              <w:rPr>
                <w:rFonts w:eastAsiaTheme="minorHAnsi"/>
                <w:lang w:val="zh-CN"/>
              </w:rPr>
            </w:pPr>
            <w:r>
              <w:t>III</w:t>
            </w:r>
          </w:p>
        </w:tc>
        <w:tc>
          <w:tcPr>
            <w:tcW w:w="1275" w:type="dxa"/>
            <w:vMerge/>
            <w:tcBorders>
              <w:left w:val="nil"/>
              <w:right w:val="nil"/>
            </w:tcBorders>
            <w:vAlign w:val="center"/>
          </w:tcPr>
          <w:p w14:paraId="726E58CB" w14:textId="77777777" w:rsidR="002F2D25" w:rsidRDefault="002F2D25" w:rsidP="00886A65">
            <w:pPr>
              <w:spacing w:line="276" w:lineRule="auto"/>
              <w:jc w:val="center"/>
              <w:rPr>
                <w:rFonts w:eastAsiaTheme="minorHAnsi"/>
                <w:lang w:val="zh-CN"/>
              </w:rPr>
            </w:pPr>
          </w:p>
        </w:tc>
        <w:tc>
          <w:tcPr>
            <w:tcW w:w="1418" w:type="dxa"/>
            <w:vMerge/>
            <w:tcBorders>
              <w:left w:val="nil"/>
              <w:right w:val="nil"/>
            </w:tcBorders>
            <w:vAlign w:val="center"/>
          </w:tcPr>
          <w:p w14:paraId="0E5157DA" w14:textId="77777777" w:rsidR="002F2D25" w:rsidRDefault="002F2D25" w:rsidP="00886A65">
            <w:pPr>
              <w:spacing w:line="276" w:lineRule="auto"/>
              <w:jc w:val="center"/>
              <w:rPr>
                <w:rFonts w:eastAsiaTheme="minorHAnsi"/>
                <w:lang w:val="zh-CN"/>
              </w:rPr>
            </w:pPr>
          </w:p>
        </w:tc>
        <w:tc>
          <w:tcPr>
            <w:tcW w:w="1559" w:type="dxa"/>
            <w:vMerge/>
            <w:tcBorders>
              <w:left w:val="nil"/>
            </w:tcBorders>
            <w:vAlign w:val="center"/>
          </w:tcPr>
          <w:p w14:paraId="61A3F7DF" w14:textId="77777777" w:rsidR="002F2D25" w:rsidRDefault="002F2D25" w:rsidP="00886A65">
            <w:pPr>
              <w:spacing w:line="276" w:lineRule="auto"/>
              <w:jc w:val="center"/>
              <w:rPr>
                <w:rFonts w:eastAsiaTheme="minorHAnsi"/>
                <w:lang w:val="zh-CN"/>
              </w:rPr>
            </w:pPr>
          </w:p>
        </w:tc>
      </w:tr>
    </w:tbl>
    <w:p w14:paraId="5BA1A38B" w14:textId="77777777" w:rsidR="002F2D25" w:rsidRDefault="002F2D25">
      <w:pPr>
        <w:spacing w:line="276" w:lineRule="auto"/>
        <w:jc w:val="both"/>
        <w:rPr>
          <w:rFonts w:eastAsiaTheme="minorHAnsi"/>
          <w:lang w:val="zh-CN"/>
        </w:rPr>
      </w:pPr>
    </w:p>
    <w:p w14:paraId="630BF717" w14:textId="77777777" w:rsidR="002F2D25" w:rsidRDefault="00000000">
      <w:pPr>
        <w:spacing w:line="276" w:lineRule="auto"/>
        <w:jc w:val="both"/>
        <w:rPr>
          <w:rFonts w:eastAsiaTheme="minorHAnsi"/>
          <w:lang w:val="fi-FI"/>
        </w:rPr>
      </w:pPr>
      <w:r>
        <w:rPr>
          <w:rFonts w:eastAsiaTheme="minorHAnsi"/>
          <w:lang w:val="zh-CN" w:eastAsia="zh-CN"/>
        </w:rPr>
        <w:t xml:space="preserve">Hasil pengujian secara organoleptis menunjukkan bahwa seluruh formulasi sediaan berbentuk semi solid, </w:t>
      </w:r>
      <w:r w:rsidR="009A0A10">
        <w:rPr>
          <w:rFonts w:eastAsiaTheme="minorHAnsi"/>
          <w:lang w:val="en-US" w:eastAsia="zh-CN"/>
        </w:rPr>
        <w:t xml:space="preserve">yang mana </w:t>
      </w:r>
      <w:r>
        <w:rPr>
          <w:rFonts w:eastAsiaTheme="minorHAnsi"/>
          <w:lang w:val="zh-CN" w:eastAsia="zh-CN"/>
        </w:rPr>
        <w:t xml:space="preserve">F1 hingga F3 memiki bau aroma teh. </w:t>
      </w:r>
      <w:r>
        <w:rPr>
          <w:rFonts w:eastAsiaTheme="minorHAnsi"/>
          <w:lang w:val="fi-FI"/>
        </w:rPr>
        <w:t xml:space="preserve">Pengujian karakteristik sediaan lainnya adalah uji pH seperti yang ditampilkan pada tabel </w:t>
      </w:r>
      <w:r w:rsidR="009A0A10">
        <w:rPr>
          <w:rFonts w:eastAsiaTheme="minorHAnsi"/>
          <w:lang w:val="fi-FI"/>
        </w:rPr>
        <w:t>3</w:t>
      </w:r>
      <w:r>
        <w:rPr>
          <w:rFonts w:eastAsiaTheme="minorHAnsi"/>
          <w:lang w:val="fi-FI"/>
        </w:rPr>
        <w:t xml:space="preserve">. </w:t>
      </w:r>
    </w:p>
    <w:p w14:paraId="5D132743" w14:textId="77777777" w:rsidR="002F2D25" w:rsidRDefault="00000000">
      <w:pPr>
        <w:spacing w:line="276" w:lineRule="auto"/>
        <w:jc w:val="both"/>
        <w:rPr>
          <w:rFonts w:eastAsiaTheme="minorHAnsi"/>
          <w:lang w:val="fi-FI"/>
        </w:rPr>
      </w:pPr>
      <w:r>
        <w:rPr>
          <w:rFonts w:eastAsiaTheme="minorHAnsi"/>
          <w:lang w:val="fi-FI"/>
        </w:rPr>
        <w:t xml:space="preserve"> </w:t>
      </w:r>
    </w:p>
    <w:p w14:paraId="42D6237C" w14:textId="77777777" w:rsidR="002F2D25" w:rsidRDefault="00000000">
      <w:pPr>
        <w:spacing w:line="276" w:lineRule="auto"/>
        <w:jc w:val="center"/>
        <w:rPr>
          <w:rFonts w:eastAsiaTheme="minorHAnsi"/>
          <w:lang w:val="zh-CN"/>
        </w:rPr>
      </w:pPr>
      <w:r>
        <w:rPr>
          <w:rFonts w:eastAsiaTheme="minorHAnsi"/>
          <w:lang w:val="fi-FI"/>
        </w:rPr>
        <w:t xml:space="preserve">Tabel 3. </w:t>
      </w:r>
      <w:r>
        <w:rPr>
          <w:rFonts w:eastAsiaTheme="minorHAnsi"/>
          <w:lang w:val="zh-CN"/>
        </w:rPr>
        <w:t>Hasil Uji pH</w:t>
      </w:r>
    </w:p>
    <w:tbl>
      <w:tblPr>
        <w:tblStyle w:val="TableGrid"/>
        <w:tblW w:w="0" w:type="auto"/>
        <w:jc w:val="center"/>
        <w:tblLook w:val="04A0" w:firstRow="1" w:lastRow="0" w:firstColumn="1" w:lastColumn="0" w:noHBand="0" w:noVBand="1"/>
      </w:tblPr>
      <w:tblGrid>
        <w:gridCol w:w="1134"/>
        <w:gridCol w:w="1134"/>
        <w:gridCol w:w="1134"/>
        <w:gridCol w:w="1276"/>
        <w:gridCol w:w="992"/>
      </w:tblGrid>
      <w:tr w:rsidR="002F2D25" w14:paraId="74ED4D98" w14:textId="77777777">
        <w:trPr>
          <w:jc w:val="center"/>
        </w:trPr>
        <w:tc>
          <w:tcPr>
            <w:tcW w:w="1134" w:type="dxa"/>
            <w:tcBorders>
              <w:left w:val="nil"/>
              <w:right w:val="nil"/>
            </w:tcBorders>
            <w:vAlign w:val="center"/>
          </w:tcPr>
          <w:p w14:paraId="2C1C2656" w14:textId="77777777" w:rsidR="002F2D25" w:rsidRDefault="00000000">
            <w:pPr>
              <w:spacing w:line="276" w:lineRule="auto"/>
              <w:jc w:val="center"/>
              <w:rPr>
                <w:rFonts w:eastAsiaTheme="minorHAnsi"/>
                <w:lang w:val="zh-CN"/>
              </w:rPr>
            </w:pPr>
            <w:r>
              <w:rPr>
                <w:rFonts w:eastAsiaTheme="minorHAnsi"/>
                <w:lang w:val="en-US"/>
              </w:rPr>
              <w:t>Formula</w:t>
            </w:r>
          </w:p>
        </w:tc>
        <w:tc>
          <w:tcPr>
            <w:tcW w:w="1134" w:type="dxa"/>
            <w:tcBorders>
              <w:left w:val="nil"/>
              <w:right w:val="nil"/>
            </w:tcBorders>
            <w:vAlign w:val="center"/>
          </w:tcPr>
          <w:p w14:paraId="4EF7865C" w14:textId="77777777" w:rsidR="002F2D25" w:rsidRDefault="00000000">
            <w:pPr>
              <w:spacing w:line="276" w:lineRule="auto"/>
              <w:jc w:val="center"/>
              <w:rPr>
                <w:rFonts w:eastAsiaTheme="minorHAnsi"/>
                <w:lang w:val="zh-CN"/>
              </w:rPr>
            </w:pPr>
            <w:r>
              <w:rPr>
                <w:rFonts w:eastAsiaTheme="minorHAnsi"/>
                <w:lang w:val="en-US"/>
              </w:rPr>
              <w:t>Minggu 1</w:t>
            </w:r>
          </w:p>
        </w:tc>
        <w:tc>
          <w:tcPr>
            <w:tcW w:w="1134" w:type="dxa"/>
            <w:tcBorders>
              <w:left w:val="nil"/>
              <w:right w:val="nil"/>
            </w:tcBorders>
            <w:vAlign w:val="center"/>
          </w:tcPr>
          <w:p w14:paraId="08EA5E74" w14:textId="77777777" w:rsidR="002F2D25" w:rsidRDefault="00000000">
            <w:pPr>
              <w:spacing w:line="276" w:lineRule="auto"/>
              <w:jc w:val="center"/>
              <w:rPr>
                <w:rFonts w:eastAsiaTheme="minorHAnsi"/>
                <w:lang w:val="zh-CN"/>
              </w:rPr>
            </w:pPr>
            <w:r>
              <w:rPr>
                <w:rFonts w:eastAsiaTheme="minorHAnsi"/>
                <w:lang w:val="en-US"/>
              </w:rPr>
              <w:t>Minggu 2</w:t>
            </w:r>
          </w:p>
        </w:tc>
        <w:tc>
          <w:tcPr>
            <w:tcW w:w="1276" w:type="dxa"/>
            <w:tcBorders>
              <w:left w:val="nil"/>
              <w:right w:val="nil"/>
            </w:tcBorders>
            <w:vAlign w:val="center"/>
          </w:tcPr>
          <w:p w14:paraId="22363241" w14:textId="77777777" w:rsidR="002F2D25" w:rsidRDefault="00000000">
            <w:pPr>
              <w:spacing w:line="276" w:lineRule="auto"/>
              <w:jc w:val="center"/>
              <w:rPr>
                <w:rFonts w:eastAsiaTheme="minorHAnsi"/>
                <w:lang w:val="zh-CN"/>
              </w:rPr>
            </w:pPr>
            <w:r>
              <w:rPr>
                <w:rFonts w:eastAsiaTheme="minorHAnsi"/>
                <w:lang w:val="en-US"/>
              </w:rPr>
              <w:t>Minggu 3</w:t>
            </w:r>
          </w:p>
        </w:tc>
        <w:tc>
          <w:tcPr>
            <w:tcW w:w="992" w:type="dxa"/>
            <w:tcBorders>
              <w:left w:val="nil"/>
              <w:right w:val="nil"/>
            </w:tcBorders>
            <w:vAlign w:val="center"/>
          </w:tcPr>
          <w:p w14:paraId="14329E3D" w14:textId="77777777" w:rsidR="002F2D25" w:rsidRDefault="00000000">
            <w:pPr>
              <w:spacing w:line="276" w:lineRule="auto"/>
              <w:jc w:val="center"/>
              <w:rPr>
                <w:rFonts w:eastAsiaTheme="minorHAnsi"/>
                <w:lang w:val="zh-CN"/>
              </w:rPr>
            </w:pPr>
            <w:r>
              <w:rPr>
                <w:rFonts w:eastAsiaTheme="minorHAnsi"/>
                <w:lang w:val="en-US"/>
              </w:rPr>
              <w:t>Rata-rata</w:t>
            </w:r>
          </w:p>
        </w:tc>
      </w:tr>
      <w:tr w:rsidR="002F2D25" w14:paraId="31A6356F" w14:textId="77777777">
        <w:trPr>
          <w:jc w:val="center"/>
        </w:trPr>
        <w:tc>
          <w:tcPr>
            <w:tcW w:w="1134" w:type="dxa"/>
            <w:tcBorders>
              <w:left w:val="nil"/>
              <w:right w:val="nil"/>
            </w:tcBorders>
            <w:vAlign w:val="center"/>
          </w:tcPr>
          <w:p w14:paraId="4EC6AC57" w14:textId="77777777" w:rsidR="002F2D25" w:rsidRDefault="00000000">
            <w:pPr>
              <w:spacing w:line="276" w:lineRule="auto"/>
              <w:jc w:val="center"/>
              <w:rPr>
                <w:rFonts w:eastAsiaTheme="minorHAnsi"/>
                <w:lang w:val="zh-CN"/>
              </w:rPr>
            </w:pPr>
            <w:r>
              <w:rPr>
                <w:rFonts w:eastAsiaTheme="minorHAnsi"/>
                <w:lang w:val="en-US"/>
              </w:rPr>
              <w:t>F0</w:t>
            </w:r>
          </w:p>
        </w:tc>
        <w:tc>
          <w:tcPr>
            <w:tcW w:w="1134" w:type="dxa"/>
            <w:tcBorders>
              <w:left w:val="nil"/>
              <w:right w:val="nil"/>
            </w:tcBorders>
            <w:vAlign w:val="center"/>
          </w:tcPr>
          <w:p w14:paraId="36CE63A4" w14:textId="77777777" w:rsidR="002F2D25" w:rsidRDefault="00000000">
            <w:pPr>
              <w:spacing w:line="276" w:lineRule="auto"/>
              <w:jc w:val="center"/>
              <w:rPr>
                <w:rFonts w:eastAsiaTheme="minorHAnsi"/>
                <w:lang w:val="zh-CN"/>
              </w:rPr>
            </w:pPr>
            <w:r>
              <w:rPr>
                <w:rFonts w:eastAsiaTheme="minorHAnsi"/>
                <w:lang w:val="en-US"/>
              </w:rPr>
              <w:t>6,0</w:t>
            </w:r>
          </w:p>
        </w:tc>
        <w:tc>
          <w:tcPr>
            <w:tcW w:w="1134" w:type="dxa"/>
            <w:tcBorders>
              <w:left w:val="nil"/>
              <w:right w:val="nil"/>
            </w:tcBorders>
            <w:vAlign w:val="center"/>
          </w:tcPr>
          <w:p w14:paraId="26D162D8" w14:textId="77777777" w:rsidR="002F2D25" w:rsidRDefault="00000000">
            <w:pPr>
              <w:spacing w:line="276" w:lineRule="auto"/>
              <w:jc w:val="center"/>
              <w:rPr>
                <w:rFonts w:eastAsiaTheme="minorHAnsi"/>
                <w:lang w:val="zh-CN"/>
              </w:rPr>
            </w:pPr>
            <w:r>
              <w:rPr>
                <w:rFonts w:eastAsiaTheme="minorHAnsi"/>
                <w:lang w:val="en-US"/>
              </w:rPr>
              <w:t>6,2</w:t>
            </w:r>
          </w:p>
        </w:tc>
        <w:tc>
          <w:tcPr>
            <w:tcW w:w="1276" w:type="dxa"/>
            <w:tcBorders>
              <w:left w:val="nil"/>
              <w:right w:val="nil"/>
            </w:tcBorders>
            <w:vAlign w:val="center"/>
          </w:tcPr>
          <w:p w14:paraId="49C9D142" w14:textId="77777777" w:rsidR="002F2D25" w:rsidRDefault="00000000">
            <w:pPr>
              <w:spacing w:line="276" w:lineRule="auto"/>
              <w:jc w:val="center"/>
              <w:rPr>
                <w:rFonts w:eastAsiaTheme="minorHAnsi"/>
                <w:lang w:val="zh-CN"/>
              </w:rPr>
            </w:pPr>
            <w:r>
              <w:rPr>
                <w:rFonts w:eastAsiaTheme="minorHAnsi"/>
                <w:lang w:val="en-US"/>
              </w:rPr>
              <w:t>6,2</w:t>
            </w:r>
          </w:p>
        </w:tc>
        <w:tc>
          <w:tcPr>
            <w:tcW w:w="992" w:type="dxa"/>
            <w:tcBorders>
              <w:left w:val="nil"/>
              <w:right w:val="nil"/>
            </w:tcBorders>
            <w:vAlign w:val="center"/>
          </w:tcPr>
          <w:p w14:paraId="5E6DB42E" w14:textId="77777777" w:rsidR="002F2D25" w:rsidRDefault="00000000">
            <w:pPr>
              <w:spacing w:line="276" w:lineRule="auto"/>
              <w:jc w:val="center"/>
              <w:rPr>
                <w:rFonts w:eastAsiaTheme="minorHAnsi"/>
                <w:lang w:val="zh-CN"/>
              </w:rPr>
            </w:pPr>
            <w:r>
              <w:rPr>
                <w:rFonts w:eastAsiaTheme="minorHAnsi"/>
                <w:lang w:val="en-US"/>
              </w:rPr>
              <w:t>6,13</w:t>
            </w:r>
          </w:p>
        </w:tc>
      </w:tr>
      <w:tr w:rsidR="002F2D25" w14:paraId="78CFFECE" w14:textId="77777777">
        <w:trPr>
          <w:jc w:val="center"/>
        </w:trPr>
        <w:tc>
          <w:tcPr>
            <w:tcW w:w="1134" w:type="dxa"/>
            <w:tcBorders>
              <w:left w:val="nil"/>
              <w:right w:val="nil"/>
            </w:tcBorders>
            <w:vAlign w:val="center"/>
          </w:tcPr>
          <w:p w14:paraId="505CAC4E" w14:textId="77777777" w:rsidR="002F2D25" w:rsidRDefault="00000000">
            <w:pPr>
              <w:spacing w:line="276" w:lineRule="auto"/>
              <w:jc w:val="center"/>
              <w:rPr>
                <w:rFonts w:eastAsiaTheme="minorHAnsi"/>
                <w:lang w:val="zh-CN"/>
              </w:rPr>
            </w:pPr>
            <w:r>
              <w:rPr>
                <w:rFonts w:eastAsiaTheme="minorHAnsi"/>
                <w:lang w:val="en-US"/>
              </w:rPr>
              <w:t>F1</w:t>
            </w:r>
          </w:p>
        </w:tc>
        <w:tc>
          <w:tcPr>
            <w:tcW w:w="1134" w:type="dxa"/>
            <w:tcBorders>
              <w:left w:val="nil"/>
              <w:right w:val="nil"/>
            </w:tcBorders>
            <w:vAlign w:val="center"/>
          </w:tcPr>
          <w:p w14:paraId="0E4B0308" w14:textId="77777777" w:rsidR="002F2D25" w:rsidRDefault="00000000">
            <w:pPr>
              <w:spacing w:line="276" w:lineRule="auto"/>
              <w:jc w:val="center"/>
              <w:rPr>
                <w:rFonts w:eastAsiaTheme="minorHAnsi"/>
                <w:lang w:val="zh-CN"/>
              </w:rPr>
            </w:pPr>
            <w:r>
              <w:rPr>
                <w:rFonts w:eastAsiaTheme="minorHAnsi"/>
                <w:lang w:val="en-US"/>
              </w:rPr>
              <w:t>6,0</w:t>
            </w:r>
          </w:p>
        </w:tc>
        <w:tc>
          <w:tcPr>
            <w:tcW w:w="1134" w:type="dxa"/>
            <w:tcBorders>
              <w:left w:val="nil"/>
              <w:right w:val="nil"/>
            </w:tcBorders>
            <w:vAlign w:val="center"/>
          </w:tcPr>
          <w:p w14:paraId="6EC00373" w14:textId="77777777" w:rsidR="002F2D25" w:rsidRDefault="00000000">
            <w:pPr>
              <w:spacing w:line="276" w:lineRule="auto"/>
              <w:jc w:val="center"/>
              <w:rPr>
                <w:rFonts w:eastAsiaTheme="minorHAnsi"/>
                <w:lang w:val="zh-CN"/>
              </w:rPr>
            </w:pPr>
            <w:r>
              <w:rPr>
                <w:rFonts w:eastAsiaTheme="minorHAnsi"/>
                <w:lang w:val="en-US"/>
              </w:rPr>
              <w:t>6,2</w:t>
            </w:r>
          </w:p>
        </w:tc>
        <w:tc>
          <w:tcPr>
            <w:tcW w:w="1276" w:type="dxa"/>
            <w:tcBorders>
              <w:left w:val="nil"/>
              <w:right w:val="nil"/>
            </w:tcBorders>
            <w:vAlign w:val="center"/>
          </w:tcPr>
          <w:p w14:paraId="57513FCC" w14:textId="77777777" w:rsidR="002F2D25" w:rsidRDefault="00000000">
            <w:pPr>
              <w:spacing w:line="276" w:lineRule="auto"/>
              <w:jc w:val="center"/>
              <w:rPr>
                <w:rFonts w:eastAsiaTheme="minorHAnsi"/>
                <w:lang w:val="zh-CN"/>
              </w:rPr>
            </w:pPr>
            <w:r>
              <w:rPr>
                <w:rFonts w:eastAsiaTheme="minorHAnsi"/>
                <w:lang w:val="en-US"/>
              </w:rPr>
              <w:t>6,3</w:t>
            </w:r>
          </w:p>
        </w:tc>
        <w:tc>
          <w:tcPr>
            <w:tcW w:w="992" w:type="dxa"/>
            <w:tcBorders>
              <w:left w:val="nil"/>
              <w:right w:val="nil"/>
            </w:tcBorders>
            <w:vAlign w:val="center"/>
          </w:tcPr>
          <w:p w14:paraId="63095A09" w14:textId="77777777" w:rsidR="002F2D25" w:rsidRDefault="00000000">
            <w:pPr>
              <w:spacing w:line="276" w:lineRule="auto"/>
              <w:jc w:val="center"/>
              <w:rPr>
                <w:rFonts w:eastAsiaTheme="minorHAnsi"/>
                <w:lang w:val="zh-CN"/>
              </w:rPr>
            </w:pPr>
            <w:r>
              <w:rPr>
                <w:rFonts w:eastAsiaTheme="minorHAnsi"/>
                <w:lang w:val="en-US"/>
              </w:rPr>
              <w:t>6,16</w:t>
            </w:r>
          </w:p>
        </w:tc>
      </w:tr>
      <w:tr w:rsidR="002F2D25" w14:paraId="29417454" w14:textId="77777777">
        <w:trPr>
          <w:jc w:val="center"/>
        </w:trPr>
        <w:tc>
          <w:tcPr>
            <w:tcW w:w="1134" w:type="dxa"/>
            <w:tcBorders>
              <w:left w:val="nil"/>
              <w:right w:val="nil"/>
            </w:tcBorders>
            <w:vAlign w:val="center"/>
          </w:tcPr>
          <w:p w14:paraId="5E6F287C" w14:textId="77777777" w:rsidR="002F2D25" w:rsidRDefault="00000000">
            <w:pPr>
              <w:spacing w:line="276" w:lineRule="auto"/>
              <w:jc w:val="center"/>
              <w:rPr>
                <w:rFonts w:eastAsiaTheme="minorHAnsi"/>
                <w:lang w:val="zh-CN"/>
              </w:rPr>
            </w:pPr>
            <w:r>
              <w:rPr>
                <w:rFonts w:eastAsiaTheme="minorHAnsi"/>
                <w:lang w:val="en-US"/>
              </w:rPr>
              <w:t>F2</w:t>
            </w:r>
          </w:p>
        </w:tc>
        <w:tc>
          <w:tcPr>
            <w:tcW w:w="1134" w:type="dxa"/>
            <w:tcBorders>
              <w:left w:val="nil"/>
              <w:right w:val="nil"/>
            </w:tcBorders>
            <w:vAlign w:val="center"/>
          </w:tcPr>
          <w:p w14:paraId="6970FC6E" w14:textId="77777777" w:rsidR="002F2D25" w:rsidRDefault="00000000">
            <w:pPr>
              <w:spacing w:line="276" w:lineRule="auto"/>
              <w:jc w:val="center"/>
              <w:rPr>
                <w:rFonts w:eastAsiaTheme="minorHAnsi"/>
                <w:lang w:val="zh-CN"/>
              </w:rPr>
            </w:pPr>
            <w:r>
              <w:rPr>
                <w:rFonts w:eastAsiaTheme="minorHAnsi"/>
                <w:lang w:val="en-US"/>
              </w:rPr>
              <w:t>6,1</w:t>
            </w:r>
          </w:p>
        </w:tc>
        <w:tc>
          <w:tcPr>
            <w:tcW w:w="1134" w:type="dxa"/>
            <w:tcBorders>
              <w:left w:val="nil"/>
              <w:right w:val="nil"/>
            </w:tcBorders>
            <w:vAlign w:val="center"/>
          </w:tcPr>
          <w:p w14:paraId="2E90EA91" w14:textId="77777777" w:rsidR="002F2D25" w:rsidRDefault="00000000">
            <w:pPr>
              <w:spacing w:line="276" w:lineRule="auto"/>
              <w:jc w:val="center"/>
              <w:rPr>
                <w:rFonts w:eastAsiaTheme="minorHAnsi"/>
                <w:lang w:val="zh-CN"/>
              </w:rPr>
            </w:pPr>
            <w:r>
              <w:rPr>
                <w:rFonts w:eastAsiaTheme="minorHAnsi"/>
                <w:lang w:val="en-US"/>
              </w:rPr>
              <w:t>6,2</w:t>
            </w:r>
          </w:p>
        </w:tc>
        <w:tc>
          <w:tcPr>
            <w:tcW w:w="1276" w:type="dxa"/>
            <w:tcBorders>
              <w:left w:val="nil"/>
              <w:right w:val="nil"/>
            </w:tcBorders>
            <w:vAlign w:val="center"/>
          </w:tcPr>
          <w:p w14:paraId="08839804" w14:textId="77777777" w:rsidR="002F2D25" w:rsidRDefault="00000000">
            <w:pPr>
              <w:spacing w:line="276" w:lineRule="auto"/>
              <w:jc w:val="center"/>
              <w:rPr>
                <w:rFonts w:eastAsiaTheme="minorHAnsi"/>
                <w:lang w:val="zh-CN"/>
              </w:rPr>
            </w:pPr>
            <w:r>
              <w:rPr>
                <w:rFonts w:eastAsiaTheme="minorHAnsi"/>
                <w:lang w:val="en-US"/>
              </w:rPr>
              <w:t>6,2</w:t>
            </w:r>
          </w:p>
        </w:tc>
        <w:tc>
          <w:tcPr>
            <w:tcW w:w="992" w:type="dxa"/>
            <w:tcBorders>
              <w:left w:val="nil"/>
              <w:right w:val="nil"/>
            </w:tcBorders>
            <w:vAlign w:val="center"/>
          </w:tcPr>
          <w:p w14:paraId="3B6B950A" w14:textId="77777777" w:rsidR="002F2D25" w:rsidRDefault="00000000">
            <w:pPr>
              <w:spacing w:line="276" w:lineRule="auto"/>
              <w:jc w:val="center"/>
              <w:rPr>
                <w:rFonts w:eastAsiaTheme="minorHAnsi"/>
                <w:lang w:val="zh-CN"/>
              </w:rPr>
            </w:pPr>
            <w:r>
              <w:rPr>
                <w:rFonts w:eastAsiaTheme="minorHAnsi"/>
                <w:lang w:val="en-US"/>
              </w:rPr>
              <w:t>6,16</w:t>
            </w:r>
          </w:p>
        </w:tc>
      </w:tr>
      <w:tr w:rsidR="002F2D25" w14:paraId="637E9553" w14:textId="77777777">
        <w:trPr>
          <w:jc w:val="center"/>
        </w:trPr>
        <w:tc>
          <w:tcPr>
            <w:tcW w:w="1134" w:type="dxa"/>
            <w:tcBorders>
              <w:left w:val="nil"/>
              <w:right w:val="nil"/>
            </w:tcBorders>
            <w:vAlign w:val="center"/>
          </w:tcPr>
          <w:p w14:paraId="4F18903C" w14:textId="77777777" w:rsidR="002F2D25" w:rsidRDefault="00000000">
            <w:pPr>
              <w:spacing w:line="276" w:lineRule="auto"/>
              <w:jc w:val="center"/>
              <w:rPr>
                <w:rFonts w:eastAsiaTheme="minorHAnsi"/>
                <w:lang w:val="zh-CN"/>
              </w:rPr>
            </w:pPr>
            <w:r>
              <w:rPr>
                <w:rFonts w:eastAsiaTheme="minorHAnsi"/>
                <w:lang w:val="en-US"/>
              </w:rPr>
              <w:t>F3</w:t>
            </w:r>
          </w:p>
        </w:tc>
        <w:tc>
          <w:tcPr>
            <w:tcW w:w="1134" w:type="dxa"/>
            <w:tcBorders>
              <w:left w:val="nil"/>
              <w:right w:val="nil"/>
            </w:tcBorders>
            <w:vAlign w:val="center"/>
          </w:tcPr>
          <w:p w14:paraId="7C621FD7" w14:textId="77777777" w:rsidR="002F2D25" w:rsidRDefault="00000000">
            <w:pPr>
              <w:spacing w:line="276" w:lineRule="auto"/>
              <w:jc w:val="center"/>
              <w:rPr>
                <w:rFonts w:eastAsiaTheme="minorHAnsi"/>
                <w:lang w:val="zh-CN"/>
              </w:rPr>
            </w:pPr>
            <w:r>
              <w:rPr>
                <w:rFonts w:eastAsiaTheme="minorHAnsi"/>
                <w:lang w:val="en-US"/>
              </w:rPr>
              <w:t>6,2</w:t>
            </w:r>
          </w:p>
        </w:tc>
        <w:tc>
          <w:tcPr>
            <w:tcW w:w="1134" w:type="dxa"/>
            <w:tcBorders>
              <w:left w:val="nil"/>
              <w:right w:val="nil"/>
            </w:tcBorders>
            <w:vAlign w:val="center"/>
          </w:tcPr>
          <w:p w14:paraId="5B6C7756" w14:textId="77777777" w:rsidR="002F2D25" w:rsidRDefault="00000000">
            <w:pPr>
              <w:spacing w:line="276" w:lineRule="auto"/>
              <w:jc w:val="center"/>
              <w:rPr>
                <w:rFonts w:eastAsiaTheme="minorHAnsi"/>
                <w:lang w:val="zh-CN"/>
              </w:rPr>
            </w:pPr>
            <w:r>
              <w:rPr>
                <w:rFonts w:eastAsiaTheme="minorHAnsi"/>
                <w:lang w:val="en-US"/>
              </w:rPr>
              <w:t>6,2</w:t>
            </w:r>
          </w:p>
        </w:tc>
        <w:tc>
          <w:tcPr>
            <w:tcW w:w="1276" w:type="dxa"/>
            <w:tcBorders>
              <w:left w:val="nil"/>
              <w:right w:val="nil"/>
            </w:tcBorders>
            <w:vAlign w:val="center"/>
          </w:tcPr>
          <w:p w14:paraId="6B2AFE5F" w14:textId="77777777" w:rsidR="002F2D25" w:rsidRDefault="00000000">
            <w:pPr>
              <w:spacing w:line="276" w:lineRule="auto"/>
              <w:jc w:val="center"/>
              <w:rPr>
                <w:rFonts w:eastAsiaTheme="minorHAnsi"/>
                <w:lang w:val="zh-CN"/>
              </w:rPr>
            </w:pPr>
            <w:r>
              <w:rPr>
                <w:rFonts w:eastAsiaTheme="minorHAnsi"/>
                <w:lang w:val="en-US"/>
              </w:rPr>
              <w:t>6,3</w:t>
            </w:r>
          </w:p>
        </w:tc>
        <w:tc>
          <w:tcPr>
            <w:tcW w:w="992" w:type="dxa"/>
            <w:tcBorders>
              <w:left w:val="nil"/>
              <w:right w:val="nil"/>
            </w:tcBorders>
            <w:vAlign w:val="center"/>
          </w:tcPr>
          <w:p w14:paraId="6B6D846F" w14:textId="77777777" w:rsidR="002F2D25" w:rsidRDefault="00000000">
            <w:pPr>
              <w:spacing w:line="276" w:lineRule="auto"/>
              <w:jc w:val="center"/>
              <w:rPr>
                <w:rFonts w:eastAsiaTheme="minorHAnsi"/>
                <w:lang w:val="zh-CN"/>
              </w:rPr>
            </w:pPr>
            <w:r>
              <w:rPr>
                <w:rFonts w:eastAsiaTheme="minorHAnsi"/>
                <w:lang w:val="en-US"/>
              </w:rPr>
              <w:t>6,23</w:t>
            </w:r>
          </w:p>
        </w:tc>
      </w:tr>
    </w:tbl>
    <w:p w14:paraId="0A338CDD" w14:textId="77777777" w:rsidR="002F2D25" w:rsidRDefault="002F2D25">
      <w:pPr>
        <w:spacing w:line="276" w:lineRule="auto"/>
        <w:jc w:val="both"/>
        <w:rPr>
          <w:rFonts w:eastAsiaTheme="minorHAnsi"/>
          <w:lang w:val="zh-CN"/>
        </w:rPr>
      </w:pPr>
    </w:p>
    <w:p w14:paraId="76AFA97D" w14:textId="77777777" w:rsidR="00886A65" w:rsidRDefault="00000000">
      <w:pPr>
        <w:spacing w:line="276" w:lineRule="auto"/>
        <w:jc w:val="both"/>
        <w:rPr>
          <w:rFonts w:eastAsiaTheme="minorHAnsi"/>
          <w:lang w:val="en-US" w:eastAsia="zh-CN"/>
        </w:rPr>
      </w:pPr>
      <w:r>
        <w:rPr>
          <w:rFonts w:eastAsiaTheme="minorHAnsi"/>
          <w:lang w:val="zh-CN" w:eastAsia="zh-CN"/>
        </w:rPr>
        <w:t>Tabel 3 menunjukkan bahwa pH seluruh formula sediaan gel tabir surya berada pada nilai pH yang relatif stabil selama penyimpanan.</w:t>
      </w:r>
      <w:r w:rsidR="009A0A10">
        <w:rPr>
          <w:rFonts w:eastAsiaTheme="minorHAnsi"/>
          <w:lang w:val="en-US" w:eastAsia="zh-CN"/>
        </w:rPr>
        <w:t xml:space="preserve"> </w:t>
      </w:r>
      <w:r>
        <w:rPr>
          <w:rFonts w:eastAsiaTheme="minorHAnsi"/>
          <w:lang w:val="zh-CN"/>
        </w:rPr>
        <w:t>Seluruh nilai pH masih berada dalam kisaran pH kulit (4,5–6,5), sehingga sediaan dinyatakan aman dan tidak berpotensi menimbulkan iritasi.</w:t>
      </w:r>
      <w:r w:rsidR="00886A65">
        <w:rPr>
          <w:rFonts w:eastAsiaTheme="minorHAnsi"/>
          <w:lang w:val="en-US" w:eastAsia="zh-CN"/>
        </w:rPr>
        <w:t xml:space="preserve"> </w:t>
      </w:r>
    </w:p>
    <w:p w14:paraId="4C060AE2" w14:textId="77777777" w:rsidR="00886A65" w:rsidRDefault="00886A65">
      <w:pPr>
        <w:spacing w:line="276" w:lineRule="auto"/>
        <w:jc w:val="both"/>
        <w:rPr>
          <w:rFonts w:eastAsiaTheme="minorHAnsi"/>
          <w:lang w:val="en-US" w:eastAsia="zh-CN"/>
        </w:rPr>
      </w:pPr>
    </w:p>
    <w:p w14:paraId="1EDC5E4A" w14:textId="77777777" w:rsidR="002F2D25" w:rsidRDefault="00000000">
      <w:pPr>
        <w:spacing w:line="276" w:lineRule="auto"/>
        <w:jc w:val="both"/>
        <w:rPr>
          <w:rFonts w:eastAsiaTheme="minorHAnsi"/>
          <w:lang w:val="zh-CN"/>
        </w:rPr>
      </w:pPr>
      <w:r>
        <w:rPr>
          <w:rFonts w:eastAsiaTheme="minorHAnsi"/>
          <w:lang w:val="zh-CN"/>
        </w:rPr>
        <w:t>Pengujian karakteritisk berikutnya adalah uji homogenitas yang menunjukkan bahwa seluruh sediaan gel (F0–F3) memiliki penyebaran partikel yang seragam tanpa ditemukan gumpalan maupun partikel kasar pada pengamatan menggunakan kaca objek. Hasil ini konsisten dari minggu pertama hingga minggu ketiga tanpa adanya perubahan, sehingga seluruh formula tetap homogen selama masa penyimpanan. Hal tersebut menunjukkan bahwa proses pencampuran berlangsung optimal dan sediaan memiliki stabilitas fisik yang baik.</w:t>
      </w:r>
    </w:p>
    <w:p w14:paraId="0719FCBA" w14:textId="77777777" w:rsidR="002F2D25" w:rsidRDefault="002F2D25">
      <w:pPr>
        <w:spacing w:line="276" w:lineRule="auto"/>
        <w:jc w:val="both"/>
        <w:rPr>
          <w:rFonts w:eastAsiaTheme="minorHAnsi"/>
          <w:lang w:val="zh-CN"/>
        </w:rPr>
      </w:pPr>
    </w:p>
    <w:p w14:paraId="0B0115C2" w14:textId="77777777" w:rsidR="002F2D25" w:rsidRDefault="00000000">
      <w:pPr>
        <w:spacing w:line="276" w:lineRule="auto"/>
        <w:jc w:val="both"/>
        <w:rPr>
          <w:rFonts w:eastAsiaTheme="minorHAnsi"/>
          <w:lang w:val="zh-CN"/>
        </w:rPr>
      </w:pPr>
      <w:r>
        <w:rPr>
          <w:rFonts w:eastAsiaTheme="minorHAnsi"/>
          <w:lang w:val="zh-CN"/>
        </w:rPr>
        <w:t>Terakhir dilakukan pengujian iritasi untuk mengetahui apakah sediaan gel tabir surya aman penggunaannya atau tidak mengiritasi kulit. Hasil menunjukkan bahwa seluruh relawan tidak mengalami tanda-tanda iritasi pada semua formula yang diuji. Tidak ditemukannya reaksi negatif ini mengindikasikan bahwa sediaan gel bersifat aman dan tidak menimbulkan efek iritatif pada kulit. Selain itu, homogenitas dan kestabilan sediaan diduga turut mendukung keamanan penggunaan, sehingga tidak memicu respons alergi selama pengujian.</w:t>
      </w:r>
    </w:p>
    <w:p w14:paraId="43AC7111" w14:textId="77777777" w:rsidR="002F2D25" w:rsidRDefault="002F2D25">
      <w:pPr>
        <w:spacing w:line="276" w:lineRule="auto"/>
        <w:jc w:val="both"/>
        <w:rPr>
          <w:rFonts w:eastAsiaTheme="minorHAnsi"/>
          <w:lang w:val="zh-CN"/>
        </w:rPr>
      </w:pPr>
    </w:p>
    <w:p w14:paraId="497A7EDA" w14:textId="77777777" w:rsidR="002F2D25" w:rsidRDefault="00000000">
      <w:pPr>
        <w:spacing w:line="276" w:lineRule="auto"/>
        <w:jc w:val="both"/>
        <w:rPr>
          <w:rFonts w:eastAsiaTheme="minorHAnsi"/>
          <w:b/>
          <w:bCs/>
          <w:lang w:val="zh-CN"/>
        </w:rPr>
      </w:pPr>
      <w:r>
        <w:rPr>
          <w:rFonts w:eastAsiaTheme="minorHAnsi"/>
          <w:b/>
          <w:bCs/>
          <w:lang w:val="zh-CN"/>
        </w:rPr>
        <w:t>Uji Antioksidan Sediaan Gel</w:t>
      </w:r>
    </w:p>
    <w:p w14:paraId="7B615DB0" w14:textId="77777777" w:rsidR="002F2D25" w:rsidRDefault="00000000">
      <w:pPr>
        <w:spacing w:line="276" w:lineRule="auto"/>
        <w:jc w:val="both"/>
        <w:rPr>
          <w:rFonts w:eastAsiaTheme="minorHAnsi"/>
          <w:lang w:val="zh-CN"/>
        </w:rPr>
      </w:pPr>
      <w:r>
        <w:rPr>
          <w:rFonts w:eastAsiaTheme="minorHAnsi"/>
          <w:lang w:val="zh-CN"/>
        </w:rPr>
        <w:t>Uji antioksidan dilakukan pada seluruh formulasi sediaan gel menggunakan metode DPPH pada panjang gelombang maksimum 517 nm. Konsentrasi setiap larutan formulasi diukur absrobansinya pada konsentrasi 2,4,6, dan 8. Selain itu, data persen inhibisi, persamaan regresi linear, dan nilai IC</w:t>
      </w:r>
      <w:r>
        <w:rPr>
          <w:rFonts w:eastAsiaTheme="minorHAnsi"/>
          <w:vertAlign w:val="subscript"/>
          <w:lang w:val="zh-CN"/>
        </w:rPr>
        <w:t>50</w:t>
      </w:r>
      <w:r>
        <w:rPr>
          <w:rFonts w:eastAsiaTheme="minorHAnsi"/>
          <w:lang w:val="zh-CN"/>
        </w:rPr>
        <w:t xml:space="preserve"> antioksidan sediaan juga ditampilkan pada tabel 4.</w:t>
      </w:r>
    </w:p>
    <w:p w14:paraId="615429BD" w14:textId="77777777" w:rsidR="002F2D25" w:rsidRDefault="002F2D25">
      <w:pPr>
        <w:spacing w:line="276" w:lineRule="auto"/>
        <w:jc w:val="both"/>
        <w:rPr>
          <w:rFonts w:eastAsiaTheme="minorHAnsi"/>
          <w:lang w:val="en-US"/>
        </w:rPr>
      </w:pPr>
    </w:p>
    <w:p w14:paraId="74D21ACA" w14:textId="77777777" w:rsidR="00886A65" w:rsidRDefault="00886A65">
      <w:pPr>
        <w:spacing w:line="276" w:lineRule="auto"/>
        <w:jc w:val="both"/>
        <w:rPr>
          <w:rFonts w:eastAsiaTheme="minorHAnsi"/>
          <w:lang w:val="en-US"/>
        </w:rPr>
      </w:pPr>
    </w:p>
    <w:p w14:paraId="3B5A9D23" w14:textId="77777777" w:rsidR="00886A65" w:rsidRDefault="00886A65">
      <w:pPr>
        <w:spacing w:line="276" w:lineRule="auto"/>
        <w:jc w:val="both"/>
        <w:rPr>
          <w:rFonts w:eastAsiaTheme="minorHAnsi"/>
          <w:lang w:val="en-US"/>
        </w:rPr>
      </w:pPr>
    </w:p>
    <w:p w14:paraId="1E4B14F8" w14:textId="77777777" w:rsidR="00886A65" w:rsidRDefault="00886A65">
      <w:pPr>
        <w:spacing w:line="276" w:lineRule="auto"/>
        <w:jc w:val="both"/>
        <w:rPr>
          <w:rFonts w:eastAsiaTheme="minorHAnsi"/>
          <w:lang w:val="en-US"/>
        </w:rPr>
      </w:pPr>
    </w:p>
    <w:p w14:paraId="41702BFC" w14:textId="77777777" w:rsidR="00886A65" w:rsidRPr="00886A65" w:rsidRDefault="00886A65">
      <w:pPr>
        <w:spacing w:line="276" w:lineRule="auto"/>
        <w:jc w:val="both"/>
        <w:rPr>
          <w:rFonts w:eastAsiaTheme="minorHAnsi"/>
          <w:lang w:val="en-US"/>
        </w:rPr>
      </w:pPr>
    </w:p>
    <w:p w14:paraId="07543DBD" w14:textId="77777777" w:rsidR="002F2D25" w:rsidRDefault="00000000">
      <w:pPr>
        <w:spacing w:line="276" w:lineRule="auto"/>
        <w:jc w:val="center"/>
        <w:rPr>
          <w:rFonts w:eastAsiaTheme="minorHAnsi"/>
          <w:lang w:val="fi-FI"/>
        </w:rPr>
      </w:pPr>
      <w:r>
        <w:rPr>
          <w:rFonts w:eastAsiaTheme="minorHAnsi"/>
          <w:lang w:val="fi-FI"/>
        </w:rPr>
        <w:t>Tabel 4. Hasil Pengujian Antioksidan</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134"/>
        <w:gridCol w:w="1250"/>
        <w:gridCol w:w="1195"/>
        <w:gridCol w:w="1241"/>
        <w:gridCol w:w="1984"/>
        <w:gridCol w:w="1134"/>
      </w:tblGrid>
      <w:tr w:rsidR="002F2D25" w14:paraId="345F20E8" w14:textId="77777777">
        <w:trPr>
          <w:jc w:val="center"/>
        </w:trPr>
        <w:tc>
          <w:tcPr>
            <w:tcW w:w="1134" w:type="dxa"/>
            <w:tcBorders>
              <w:right w:val="nil"/>
            </w:tcBorders>
            <w:vAlign w:val="center"/>
          </w:tcPr>
          <w:p w14:paraId="45D1314F" w14:textId="77777777" w:rsidR="002F2D25" w:rsidRDefault="00000000">
            <w:pPr>
              <w:spacing w:line="276" w:lineRule="auto"/>
              <w:jc w:val="center"/>
              <w:rPr>
                <w:rFonts w:eastAsiaTheme="minorHAnsi"/>
                <w:lang w:val="fi-FI"/>
              </w:rPr>
            </w:pPr>
            <w:r>
              <w:rPr>
                <w:b/>
                <w:bCs/>
              </w:rPr>
              <w:t>Formulasi</w:t>
            </w:r>
          </w:p>
        </w:tc>
        <w:tc>
          <w:tcPr>
            <w:tcW w:w="1250" w:type="dxa"/>
            <w:tcBorders>
              <w:left w:val="nil"/>
              <w:right w:val="nil"/>
            </w:tcBorders>
            <w:vAlign w:val="center"/>
          </w:tcPr>
          <w:p w14:paraId="055D7FA4" w14:textId="77777777" w:rsidR="002F2D25" w:rsidRDefault="00000000">
            <w:pPr>
              <w:spacing w:line="276" w:lineRule="auto"/>
              <w:jc w:val="center"/>
              <w:rPr>
                <w:rFonts w:eastAsiaTheme="minorHAnsi"/>
                <w:lang w:val="fi-FI"/>
              </w:rPr>
            </w:pPr>
            <w:r>
              <w:rPr>
                <w:b/>
                <w:bCs/>
              </w:rPr>
              <w:t>Konsentrasi (ppm)</w:t>
            </w:r>
          </w:p>
        </w:tc>
        <w:tc>
          <w:tcPr>
            <w:tcW w:w="1195" w:type="dxa"/>
            <w:tcBorders>
              <w:left w:val="nil"/>
              <w:right w:val="nil"/>
            </w:tcBorders>
            <w:vAlign w:val="center"/>
          </w:tcPr>
          <w:p w14:paraId="6EF6652E" w14:textId="77777777" w:rsidR="002F2D25" w:rsidRDefault="00000000">
            <w:pPr>
              <w:spacing w:line="276" w:lineRule="auto"/>
              <w:jc w:val="center"/>
              <w:rPr>
                <w:rFonts w:eastAsiaTheme="minorHAnsi"/>
                <w:lang w:val="fi-FI"/>
              </w:rPr>
            </w:pPr>
            <w:r>
              <w:rPr>
                <w:b/>
                <w:bCs/>
              </w:rPr>
              <w:t>Absorbansi rata-rata</w:t>
            </w:r>
          </w:p>
        </w:tc>
        <w:tc>
          <w:tcPr>
            <w:tcW w:w="1241" w:type="dxa"/>
            <w:tcBorders>
              <w:left w:val="nil"/>
              <w:right w:val="nil"/>
            </w:tcBorders>
            <w:vAlign w:val="center"/>
          </w:tcPr>
          <w:p w14:paraId="7D949529" w14:textId="77777777" w:rsidR="002F2D25" w:rsidRDefault="00000000">
            <w:pPr>
              <w:spacing w:line="276" w:lineRule="auto"/>
              <w:jc w:val="center"/>
              <w:rPr>
                <w:rFonts w:eastAsiaTheme="minorHAnsi"/>
                <w:lang w:val="fi-FI"/>
              </w:rPr>
            </w:pPr>
            <w:r>
              <w:rPr>
                <w:b/>
                <w:bCs/>
              </w:rPr>
              <w:t>Persen Inhibisi</w:t>
            </w:r>
          </w:p>
        </w:tc>
        <w:tc>
          <w:tcPr>
            <w:tcW w:w="1984" w:type="dxa"/>
            <w:tcBorders>
              <w:left w:val="nil"/>
              <w:right w:val="nil"/>
            </w:tcBorders>
            <w:vAlign w:val="center"/>
          </w:tcPr>
          <w:p w14:paraId="482B450C" w14:textId="77777777" w:rsidR="002F2D25" w:rsidRDefault="00000000">
            <w:pPr>
              <w:spacing w:line="276" w:lineRule="auto"/>
              <w:jc w:val="center"/>
              <w:rPr>
                <w:rFonts w:eastAsiaTheme="minorHAnsi"/>
                <w:lang w:val="fi-FI"/>
              </w:rPr>
            </w:pPr>
            <w:r>
              <w:rPr>
                <w:b/>
                <w:bCs/>
              </w:rPr>
              <w:t>Persamaan Regresi Linear</w:t>
            </w:r>
          </w:p>
        </w:tc>
        <w:tc>
          <w:tcPr>
            <w:tcW w:w="1134" w:type="dxa"/>
            <w:tcBorders>
              <w:left w:val="nil"/>
            </w:tcBorders>
            <w:vAlign w:val="center"/>
          </w:tcPr>
          <w:p w14:paraId="3F04C0A4" w14:textId="77777777" w:rsidR="002F2D25" w:rsidRDefault="00000000">
            <w:pPr>
              <w:spacing w:line="276" w:lineRule="auto"/>
              <w:jc w:val="center"/>
              <w:rPr>
                <w:rFonts w:eastAsiaTheme="minorHAnsi"/>
                <w:lang w:val="fi-FI"/>
              </w:rPr>
            </w:pPr>
            <w:r>
              <w:rPr>
                <w:b/>
                <w:bCs/>
              </w:rPr>
              <w:t>IC₅₀ (ppm)</w:t>
            </w:r>
          </w:p>
        </w:tc>
      </w:tr>
      <w:tr w:rsidR="002F2D25" w14:paraId="11D26CB3" w14:textId="77777777">
        <w:trPr>
          <w:jc w:val="center"/>
        </w:trPr>
        <w:tc>
          <w:tcPr>
            <w:tcW w:w="1134" w:type="dxa"/>
            <w:vMerge w:val="restart"/>
            <w:tcBorders>
              <w:right w:val="nil"/>
            </w:tcBorders>
            <w:vAlign w:val="center"/>
          </w:tcPr>
          <w:p w14:paraId="407E2924" w14:textId="77777777" w:rsidR="002F2D25" w:rsidRDefault="00000000">
            <w:pPr>
              <w:spacing w:line="276" w:lineRule="auto"/>
              <w:jc w:val="center"/>
              <w:rPr>
                <w:rFonts w:eastAsiaTheme="minorHAnsi"/>
                <w:lang w:val="fi-FI"/>
              </w:rPr>
            </w:pPr>
            <w:r>
              <w:rPr>
                <w:rStyle w:val="Strong"/>
                <w:b w:val="0"/>
                <w:bCs w:val="0"/>
              </w:rPr>
              <w:t>F0 (0%)</w:t>
            </w:r>
          </w:p>
          <w:p w14:paraId="42FD2125"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03ED64D5" w14:textId="77777777" w:rsidR="002F2D25" w:rsidRDefault="00000000">
            <w:pPr>
              <w:spacing w:line="276" w:lineRule="auto"/>
              <w:jc w:val="center"/>
              <w:rPr>
                <w:rFonts w:eastAsiaTheme="minorHAnsi"/>
                <w:lang w:val="fi-FI"/>
              </w:rPr>
            </w:pPr>
            <w:r>
              <w:t>2</w:t>
            </w:r>
          </w:p>
        </w:tc>
        <w:tc>
          <w:tcPr>
            <w:tcW w:w="1195" w:type="dxa"/>
            <w:tcBorders>
              <w:left w:val="nil"/>
              <w:right w:val="nil"/>
            </w:tcBorders>
          </w:tcPr>
          <w:p w14:paraId="4541F16E" w14:textId="77777777" w:rsidR="002F2D25" w:rsidRDefault="00000000">
            <w:pPr>
              <w:spacing w:line="276" w:lineRule="auto"/>
              <w:jc w:val="center"/>
              <w:rPr>
                <w:rFonts w:eastAsiaTheme="minorHAnsi"/>
                <w:lang w:val="fi-FI"/>
              </w:rPr>
            </w:pPr>
            <w:r>
              <w:t>0,7223</w:t>
            </w:r>
          </w:p>
        </w:tc>
        <w:tc>
          <w:tcPr>
            <w:tcW w:w="1241" w:type="dxa"/>
            <w:tcBorders>
              <w:left w:val="nil"/>
              <w:right w:val="nil"/>
            </w:tcBorders>
          </w:tcPr>
          <w:p w14:paraId="0DD7EFB1" w14:textId="77777777" w:rsidR="002F2D25" w:rsidRDefault="00000000">
            <w:pPr>
              <w:spacing w:line="276" w:lineRule="auto"/>
              <w:jc w:val="center"/>
              <w:rPr>
                <w:rFonts w:eastAsiaTheme="minorHAnsi"/>
                <w:lang w:val="fi-FI"/>
              </w:rPr>
            </w:pPr>
            <w:r>
              <w:t>8,2402</w:t>
            </w:r>
          </w:p>
        </w:tc>
        <w:tc>
          <w:tcPr>
            <w:tcW w:w="1984" w:type="dxa"/>
            <w:vMerge w:val="restart"/>
            <w:tcBorders>
              <w:left w:val="nil"/>
              <w:right w:val="nil"/>
            </w:tcBorders>
            <w:vAlign w:val="center"/>
          </w:tcPr>
          <w:p w14:paraId="30130DE7" w14:textId="77777777" w:rsidR="002F2D25" w:rsidRDefault="00000000">
            <w:pPr>
              <w:spacing w:line="276" w:lineRule="auto"/>
              <w:jc w:val="center"/>
              <w:rPr>
                <w:rFonts w:eastAsiaTheme="minorHAnsi"/>
                <w:lang w:val="fi-FI"/>
              </w:rPr>
            </w:pPr>
            <w:r>
              <w:t>y = 1,5547x + 5,13</w:t>
            </w:r>
          </w:p>
          <w:p w14:paraId="66091E06" w14:textId="77777777" w:rsidR="002F2D25" w:rsidRDefault="002F2D25">
            <w:pPr>
              <w:spacing w:line="276" w:lineRule="auto"/>
              <w:jc w:val="center"/>
              <w:rPr>
                <w:rFonts w:eastAsiaTheme="minorHAnsi"/>
                <w:lang w:val="fi-FI"/>
              </w:rPr>
            </w:pPr>
          </w:p>
        </w:tc>
        <w:tc>
          <w:tcPr>
            <w:tcW w:w="1134" w:type="dxa"/>
            <w:vMerge w:val="restart"/>
            <w:tcBorders>
              <w:left w:val="nil"/>
            </w:tcBorders>
            <w:vAlign w:val="center"/>
          </w:tcPr>
          <w:p w14:paraId="06D1B47C" w14:textId="77777777" w:rsidR="002F2D25" w:rsidRDefault="00000000">
            <w:pPr>
              <w:spacing w:line="276" w:lineRule="auto"/>
              <w:jc w:val="center"/>
            </w:pPr>
            <w:r>
              <w:t>28,86</w:t>
            </w:r>
          </w:p>
          <w:p w14:paraId="3605A687" w14:textId="77777777" w:rsidR="002F2D25" w:rsidRDefault="002F2D25">
            <w:pPr>
              <w:spacing w:line="276" w:lineRule="auto"/>
              <w:jc w:val="center"/>
              <w:rPr>
                <w:rFonts w:eastAsiaTheme="minorHAnsi"/>
                <w:lang w:val="fi-FI"/>
              </w:rPr>
            </w:pPr>
          </w:p>
        </w:tc>
      </w:tr>
      <w:tr w:rsidR="002F2D25" w14:paraId="48BB84E0" w14:textId="77777777">
        <w:trPr>
          <w:jc w:val="center"/>
        </w:trPr>
        <w:tc>
          <w:tcPr>
            <w:tcW w:w="1134" w:type="dxa"/>
            <w:vMerge/>
            <w:tcBorders>
              <w:right w:val="nil"/>
            </w:tcBorders>
            <w:vAlign w:val="center"/>
          </w:tcPr>
          <w:p w14:paraId="50A0D8D5"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45AB39FF" w14:textId="77777777" w:rsidR="002F2D25" w:rsidRDefault="00000000">
            <w:pPr>
              <w:spacing w:line="276" w:lineRule="auto"/>
              <w:jc w:val="center"/>
              <w:rPr>
                <w:rFonts w:eastAsiaTheme="minorHAnsi"/>
                <w:lang w:val="fi-FI"/>
              </w:rPr>
            </w:pPr>
            <w:r>
              <w:t>4</w:t>
            </w:r>
          </w:p>
        </w:tc>
        <w:tc>
          <w:tcPr>
            <w:tcW w:w="1195" w:type="dxa"/>
            <w:tcBorders>
              <w:left w:val="nil"/>
              <w:right w:val="nil"/>
            </w:tcBorders>
          </w:tcPr>
          <w:p w14:paraId="54DCC493" w14:textId="77777777" w:rsidR="002F2D25" w:rsidRDefault="00000000">
            <w:pPr>
              <w:spacing w:line="276" w:lineRule="auto"/>
              <w:jc w:val="center"/>
              <w:rPr>
                <w:rFonts w:eastAsiaTheme="minorHAnsi"/>
                <w:lang w:val="fi-FI"/>
              </w:rPr>
            </w:pPr>
            <w:r>
              <w:t>0,6984</w:t>
            </w:r>
          </w:p>
        </w:tc>
        <w:tc>
          <w:tcPr>
            <w:tcW w:w="1241" w:type="dxa"/>
            <w:tcBorders>
              <w:left w:val="nil"/>
              <w:right w:val="nil"/>
            </w:tcBorders>
          </w:tcPr>
          <w:p w14:paraId="346E2C8C" w14:textId="77777777" w:rsidR="002F2D25" w:rsidRDefault="00000000">
            <w:pPr>
              <w:spacing w:line="276" w:lineRule="auto"/>
              <w:jc w:val="center"/>
              <w:rPr>
                <w:rFonts w:eastAsiaTheme="minorHAnsi"/>
                <w:lang w:val="fi-FI"/>
              </w:rPr>
            </w:pPr>
            <w:r>
              <w:t>11,2763</w:t>
            </w:r>
          </w:p>
        </w:tc>
        <w:tc>
          <w:tcPr>
            <w:tcW w:w="1984" w:type="dxa"/>
            <w:vMerge/>
            <w:tcBorders>
              <w:left w:val="nil"/>
              <w:right w:val="nil"/>
            </w:tcBorders>
            <w:vAlign w:val="center"/>
          </w:tcPr>
          <w:p w14:paraId="01AFB4FB"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4CBEA48D" w14:textId="77777777" w:rsidR="002F2D25" w:rsidRDefault="002F2D25">
            <w:pPr>
              <w:spacing w:line="276" w:lineRule="auto"/>
              <w:jc w:val="center"/>
              <w:rPr>
                <w:rFonts w:eastAsiaTheme="minorHAnsi"/>
                <w:lang w:val="fi-FI"/>
              </w:rPr>
            </w:pPr>
          </w:p>
        </w:tc>
      </w:tr>
      <w:tr w:rsidR="002F2D25" w14:paraId="60943F60" w14:textId="77777777">
        <w:trPr>
          <w:jc w:val="center"/>
        </w:trPr>
        <w:tc>
          <w:tcPr>
            <w:tcW w:w="1134" w:type="dxa"/>
            <w:vMerge/>
            <w:tcBorders>
              <w:right w:val="nil"/>
            </w:tcBorders>
            <w:vAlign w:val="center"/>
          </w:tcPr>
          <w:p w14:paraId="5CE55313"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64B0E79A" w14:textId="77777777" w:rsidR="002F2D25" w:rsidRDefault="00000000">
            <w:pPr>
              <w:spacing w:line="276" w:lineRule="auto"/>
              <w:jc w:val="center"/>
              <w:rPr>
                <w:rFonts w:eastAsiaTheme="minorHAnsi"/>
                <w:lang w:val="fi-FI"/>
              </w:rPr>
            </w:pPr>
            <w:r>
              <w:t>6</w:t>
            </w:r>
          </w:p>
        </w:tc>
        <w:tc>
          <w:tcPr>
            <w:tcW w:w="1195" w:type="dxa"/>
            <w:tcBorders>
              <w:left w:val="nil"/>
              <w:right w:val="nil"/>
            </w:tcBorders>
          </w:tcPr>
          <w:p w14:paraId="71B1E7C4" w14:textId="77777777" w:rsidR="002F2D25" w:rsidRDefault="00000000">
            <w:pPr>
              <w:spacing w:line="276" w:lineRule="auto"/>
              <w:jc w:val="center"/>
              <w:rPr>
                <w:rFonts w:eastAsiaTheme="minorHAnsi"/>
                <w:lang w:val="fi-FI"/>
              </w:rPr>
            </w:pPr>
            <w:r>
              <w:t>0,6723</w:t>
            </w:r>
          </w:p>
        </w:tc>
        <w:tc>
          <w:tcPr>
            <w:tcW w:w="1241" w:type="dxa"/>
            <w:tcBorders>
              <w:left w:val="nil"/>
              <w:right w:val="nil"/>
            </w:tcBorders>
          </w:tcPr>
          <w:p w14:paraId="51154ED3" w14:textId="77777777" w:rsidR="002F2D25" w:rsidRDefault="00000000">
            <w:pPr>
              <w:spacing w:line="276" w:lineRule="auto"/>
              <w:jc w:val="center"/>
              <w:rPr>
                <w:rFonts w:eastAsiaTheme="minorHAnsi"/>
                <w:lang w:val="fi-FI"/>
              </w:rPr>
            </w:pPr>
            <w:r>
              <w:t>14,6003</w:t>
            </w:r>
          </w:p>
        </w:tc>
        <w:tc>
          <w:tcPr>
            <w:tcW w:w="1984" w:type="dxa"/>
            <w:vMerge/>
            <w:tcBorders>
              <w:left w:val="nil"/>
              <w:right w:val="nil"/>
            </w:tcBorders>
            <w:vAlign w:val="center"/>
          </w:tcPr>
          <w:p w14:paraId="397DE1F9"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2D52E7D2" w14:textId="77777777" w:rsidR="002F2D25" w:rsidRDefault="002F2D25">
            <w:pPr>
              <w:spacing w:line="276" w:lineRule="auto"/>
              <w:jc w:val="center"/>
              <w:rPr>
                <w:rFonts w:eastAsiaTheme="minorHAnsi"/>
                <w:lang w:val="fi-FI"/>
              </w:rPr>
            </w:pPr>
          </w:p>
        </w:tc>
      </w:tr>
      <w:tr w:rsidR="002F2D25" w14:paraId="2A4CA3CF" w14:textId="77777777">
        <w:trPr>
          <w:jc w:val="center"/>
        </w:trPr>
        <w:tc>
          <w:tcPr>
            <w:tcW w:w="1134" w:type="dxa"/>
            <w:vMerge/>
            <w:tcBorders>
              <w:right w:val="nil"/>
            </w:tcBorders>
            <w:vAlign w:val="center"/>
          </w:tcPr>
          <w:p w14:paraId="325028C8"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48395181" w14:textId="77777777" w:rsidR="002F2D25" w:rsidRDefault="00000000">
            <w:pPr>
              <w:spacing w:line="276" w:lineRule="auto"/>
              <w:jc w:val="center"/>
              <w:rPr>
                <w:rFonts w:eastAsiaTheme="minorHAnsi"/>
                <w:lang w:val="fi-FI"/>
              </w:rPr>
            </w:pPr>
            <w:r>
              <w:t>8</w:t>
            </w:r>
          </w:p>
        </w:tc>
        <w:tc>
          <w:tcPr>
            <w:tcW w:w="1195" w:type="dxa"/>
            <w:tcBorders>
              <w:left w:val="nil"/>
              <w:right w:val="nil"/>
            </w:tcBorders>
          </w:tcPr>
          <w:p w14:paraId="59F89B54" w14:textId="77777777" w:rsidR="002F2D25" w:rsidRDefault="00000000">
            <w:pPr>
              <w:spacing w:line="276" w:lineRule="auto"/>
              <w:jc w:val="center"/>
              <w:rPr>
                <w:rFonts w:eastAsiaTheme="minorHAnsi"/>
                <w:lang w:val="fi-FI"/>
              </w:rPr>
            </w:pPr>
            <w:r>
              <w:t>0,6495</w:t>
            </w:r>
          </w:p>
        </w:tc>
        <w:tc>
          <w:tcPr>
            <w:tcW w:w="1241" w:type="dxa"/>
            <w:tcBorders>
              <w:left w:val="nil"/>
              <w:right w:val="nil"/>
            </w:tcBorders>
          </w:tcPr>
          <w:p w14:paraId="316BBAB6" w14:textId="77777777" w:rsidR="002F2D25" w:rsidRDefault="00000000">
            <w:pPr>
              <w:spacing w:line="276" w:lineRule="auto"/>
              <w:jc w:val="center"/>
              <w:rPr>
                <w:rFonts w:eastAsiaTheme="minorHAnsi"/>
                <w:lang w:val="fi-FI"/>
              </w:rPr>
            </w:pPr>
            <w:r>
              <w:t>17,4966</w:t>
            </w:r>
          </w:p>
        </w:tc>
        <w:tc>
          <w:tcPr>
            <w:tcW w:w="1984" w:type="dxa"/>
            <w:vMerge/>
            <w:tcBorders>
              <w:left w:val="nil"/>
              <w:right w:val="nil"/>
            </w:tcBorders>
            <w:vAlign w:val="center"/>
          </w:tcPr>
          <w:p w14:paraId="0CE69FC1"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068B551B" w14:textId="77777777" w:rsidR="002F2D25" w:rsidRDefault="002F2D25">
            <w:pPr>
              <w:spacing w:line="276" w:lineRule="auto"/>
              <w:jc w:val="center"/>
              <w:rPr>
                <w:rFonts w:eastAsiaTheme="minorHAnsi"/>
                <w:lang w:val="fi-FI"/>
              </w:rPr>
            </w:pPr>
          </w:p>
        </w:tc>
      </w:tr>
      <w:tr w:rsidR="002F2D25" w14:paraId="7EFBAB10" w14:textId="77777777">
        <w:trPr>
          <w:jc w:val="center"/>
        </w:trPr>
        <w:tc>
          <w:tcPr>
            <w:tcW w:w="1134" w:type="dxa"/>
            <w:vMerge w:val="restart"/>
            <w:tcBorders>
              <w:right w:val="nil"/>
            </w:tcBorders>
            <w:vAlign w:val="center"/>
          </w:tcPr>
          <w:p w14:paraId="5934FC1D" w14:textId="77777777" w:rsidR="002F2D25" w:rsidRDefault="00000000">
            <w:pPr>
              <w:spacing w:line="276" w:lineRule="auto"/>
              <w:jc w:val="center"/>
              <w:rPr>
                <w:rFonts w:eastAsiaTheme="minorHAnsi"/>
                <w:lang w:val="fi-FI"/>
              </w:rPr>
            </w:pPr>
            <w:r>
              <w:rPr>
                <w:rStyle w:val="Strong"/>
                <w:b w:val="0"/>
                <w:bCs w:val="0"/>
              </w:rPr>
              <w:t>F1 (5%)</w:t>
            </w:r>
          </w:p>
          <w:p w14:paraId="60B8BC0D"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2A131E8F" w14:textId="77777777" w:rsidR="002F2D25" w:rsidRDefault="00000000">
            <w:pPr>
              <w:spacing w:line="276" w:lineRule="auto"/>
              <w:jc w:val="center"/>
              <w:rPr>
                <w:rFonts w:eastAsiaTheme="minorHAnsi"/>
                <w:lang w:val="fi-FI"/>
              </w:rPr>
            </w:pPr>
            <w:r>
              <w:t>2</w:t>
            </w:r>
          </w:p>
        </w:tc>
        <w:tc>
          <w:tcPr>
            <w:tcW w:w="1195" w:type="dxa"/>
            <w:tcBorders>
              <w:left w:val="nil"/>
              <w:right w:val="nil"/>
            </w:tcBorders>
          </w:tcPr>
          <w:p w14:paraId="3A8813A4" w14:textId="77777777" w:rsidR="002F2D25" w:rsidRDefault="00000000">
            <w:pPr>
              <w:spacing w:line="276" w:lineRule="auto"/>
              <w:jc w:val="center"/>
              <w:rPr>
                <w:rFonts w:eastAsiaTheme="minorHAnsi"/>
                <w:lang w:val="fi-FI"/>
              </w:rPr>
            </w:pPr>
            <w:r>
              <w:t>0,6629</w:t>
            </w:r>
          </w:p>
        </w:tc>
        <w:tc>
          <w:tcPr>
            <w:tcW w:w="1241" w:type="dxa"/>
            <w:tcBorders>
              <w:left w:val="nil"/>
              <w:right w:val="nil"/>
            </w:tcBorders>
          </w:tcPr>
          <w:p w14:paraId="11663D31" w14:textId="77777777" w:rsidR="002F2D25" w:rsidRDefault="00000000">
            <w:pPr>
              <w:spacing w:line="276" w:lineRule="auto"/>
              <w:jc w:val="center"/>
              <w:rPr>
                <w:rFonts w:eastAsiaTheme="minorHAnsi"/>
                <w:lang w:val="fi-FI"/>
              </w:rPr>
            </w:pPr>
            <w:r>
              <w:t>15,7944</w:t>
            </w:r>
          </w:p>
        </w:tc>
        <w:tc>
          <w:tcPr>
            <w:tcW w:w="1984" w:type="dxa"/>
            <w:vMerge w:val="restart"/>
            <w:tcBorders>
              <w:left w:val="nil"/>
              <w:right w:val="nil"/>
            </w:tcBorders>
            <w:vAlign w:val="center"/>
          </w:tcPr>
          <w:p w14:paraId="1A4646A3" w14:textId="77777777" w:rsidR="002F2D25" w:rsidRDefault="00000000">
            <w:pPr>
              <w:spacing w:line="276" w:lineRule="auto"/>
              <w:jc w:val="center"/>
              <w:rPr>
                <w:rFonts w:eastAsiaTheme="minorHAnsi"/>
                <w:lang w:val="fi-FI"/>
              </w:rPr>
            </w:pPr>
            <w:r>
              <w:t>y = 1,6991x + 12,432</w:t>
            </w:r>
          </w:p>
          <w:p w14:paraId="151099C8" w14:textId="77777777" w:rsidR="002F2D25" w:rsidRDefault="002F2D25">
            <w:pPr>
              <w:spacing w:line="276" w:lineRule="auto"/>
              <w:jc w:val="center"/>
              <w:rPr>
                <w:rFonts w:eastAsiaTheme="minorHAnsi"/>
                <w:lang w:val="fi-FI"/>
              </w:rPr>
            </w:pPr>
          </w:p>
        </w:tc>
        <w:tc>
          <w:tcPr>
            <w:tcW w:w="1134" w:type="dxa"/>
            <w:vMerge w:val="restart"/>
            <w:tcBorders>
              <w:left w:val="nil"/>
            </w:tcBorders>
            <w:vAlign w:val="center"/>
          </w:tcPr>
          <w:p w14:paraId="38E85AD5" w14:textId="77777777" w:rsidR="002F2D25" w:rsidRDefault="00000000">
            <w:pPr>
              <w:spacing w:line="276" w:lineRule="auto"/>
              <w:jc w:val="center"/>
              <w:rPr>
                <w:rFonts w:eastAsiaTheme="minorHAnsi"/>
                <w:lang w:val="fi-FI"/>
              </w:rPr>
            </w:pPr>
            <w:r>
              <w:t>22,11</w:t>
            </w:r>
          </w:p>
          <w:p w14:paraId="44F17AAA" w14:textId="77777777" w:rsidR="002F2D25" w:rsidRDefault="002F2D25">
            <w:pPr>
              <w:spacing w:line="276" w:lineRule="auto"/>
              <w:jc w:val="center"/>
              <w:rPr>
                <w:rFonts w:eastAsiaTheme="minorHAnsi"/>
                <w:lang w:val="fi-FI"/>
              </w:rPr>
            </w:pPr>
          </w:p>
        </w:tc>
      </w:tr>
      <w:tr w:rsidR="002F2D25" w14:paraId="6A0D8C3F" w14:textId="77777777">
        <w:trPr>
          <w:jc w:val="center"/>
        </w:trPr>
        <w:tc>
          <w:tcPr>
            <w:tcW w:w="1134" w:type="dxa"/>
            <w:vMerge/>
            <w:tcBorders>
              <w:right w:val="nil"/>
            </w:tcBorders>
            <w:vAlign w:val="center"/>
          </w:tcPr>
          <w:p w14:paraId="17DE86D1"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4EE6B918" w14:textId="77777777" w:rsidR="002F2D25" w:rsidRDefault="00000000">
            <w:pPr>
              <w:spacing w:line="276" w:lineRule="auto"/>
              <w:jc w:val="center"/>
              <w:rPr>
                <w:rFonts w:eastAsiaTheme="minorHAnsi"/>
                <w:lang w:val="fi-FI"/>
              </w:rPr>
            </w:pPr>
            <w:r>
              <w:t>4</w:t>
            </w:r>
          </w:p>
        </w:tc>
        <w:tc>
          <w:tcPr>
            <w:tcW w:w="1195" w:type="dxa"/>
            <w:tcBorders>
              <w:left w:val="nil"/>
              <w:right w:val="nil"/>
            </w:tcBorders>
          </w:tcPr>
          <w:p w14:paraId="0457BE44" w14:textId="77777777" w:rsidR="002F2D25" w:rsidRDefault="00000000">
            <w:pPr>
              <w:spacing w:line="276" w:lineRule="auto"/>
              <w:jc w:val="center"/>
              <w:rPr>
                <w:rFonts w:eastAsiaTheme="minorHAnsi"/>
                <w:lang w:val="fi-FI"/>
              </w:rPr>
            </w:pPr>
            <w:r>
              <w:t>0,6333</w:t>
            </w:r>
          </w:p>
        </w:tc>
        <w:tc>
          <w:tcPr>
            <w:tcW w:w="1241" w:type="dxa"/>
            <w:tcBorders>
              <w:left w:val="nil"/>
              <w:right w:val="nil"/>
            </w:tcBorders>
          </w:tcPr>
          <w:p w14:paraId="352AE370" w14:textId="77777777" w:rsidR="002F2D25" w:rsidRDefault="00000000">
            <w:pPr>
              <w:spacing w:line="276" w:lineRule="auto"/>
              <w:jc w:val="center"/>
              <w:rPr>
                <w:rFonts w:eastAsiaTheme="minorHAnsi"/>
                <w:lang w:val="fi-FI"/>
              </w:rPr>
            </w:pPr>
            <w:r>
              <w:t>19,5545</w:t>
            </w:r>
          </w:p>
        </w:tc>
        <w:tc>
          <w:tcPr>
            <w:tcW w:w="1984" w:type="dxa"/>
            <w:vMerge/>
            <w:tcBorders>
              <w:left w:val="nil"/>
              <w:right w:val="nil"/>
            </w:tcBorders>
            <w:vAlign w:val="center"/>
          </w:tcPr>
          <w:p w14:paraId="49640406"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1CFB26D5" w14:textId="77777777" w:rsidR="002F2D25" w:rsidRDefault="002F2D25">
            <w:pPr>
              <w:spacing w:line="276" w:lineRule="auto"/>
              <w:jc w:val="center"/>
              <w:rPr>
                <w:rFonts w:eastAsiaTheme="minorHAnsi"/>
                <w:lang w:val="fi-FI"/>
              </w:rPr>
            </w:pPr>
          </w:p>
        </w:tc>
      </w:tr>
      <w:tr w:rsidR="002F2D25" w14:paraId="1016076F" w14:textId="77777777">
        <w:trPr>
          <w:jc w:val="center"/>
        </w:trPr>
        <w:tc>
          <w:tcPr>
            <w:tcW w:w="1134" w:type="dxa"/>
            <w:vMerge/>
            <w:tcBorders>
              <w:right w:val="nil"/>
            </w:tcBorders>
            <w:vAlign w:val="center"/>
          </w:tcPr>
          <w:p w14:paraId="24CA490B"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7F610402" w14:textId="77777777" w:rsidR="002F2D25" w:rsidRDefault="00000000">
            <w:pPr>
              <w:spacing w:line="276" w:lineRule="auto"/>
              <w:jc w:val="center"/>
              <w:rPr>
                <w:rFonts w:eastAsiaTheme="minorHAnsi"/>
                <w:lang w:val="fi-FI"/>
              </w:rPr>
            </w:pPr>
            <w:r>
              <w:t>6</w:t>
            </w:r>
          </w:p>
        </w:tc>
        <w:tc>
          <w:tcPr>
            <w:tcW w:w="1195" w:type="dxa"/>
            <w:tcBorders>
              <w:left w:val="nil"/>
              <w:right w:val="nil"/>
            </w:tcBorders>
          </w:tcPr>
          <w:p w14:paraId="47E3B8D6" w14:textId="77777777" w:rsidR="002F2D25" w:rsidRDefault="00000000">
            <w:pPr>
              <w:spacing w:line="276" w:lineRule="auto"/>
              <w:jc w:val="center"/>
              <w:rPr>
                <w:rFonts w:eastAsiaTheme="minorHAnsi"/>
                <w:lang w:val="fi-FI"/>
              </w:rPr>
            </w:pPr>
            <w:r>
              <w:t>0,6134</w:t>
            </w:r>
          </w:p>
        </w:tc>
        <w:tc>
          <w:tcPr>
            <w:tcW w:w="1241" w:type="dxa"/>
            <w:tcBorders>
              <w:left w:val="nil"/>
              <w:right w:val="nil"/>
            </w:tcBorders>
          </w:tcPr>
          <w:p w14:paraId="0636CA2E" w14:textId="77777777" w:rsidR="002F2D25" w:rsidRDefault="00000000">
            <w:pPr>
              <w:spacing w:line="276" w:lineRule="auto"/>
              <w:jc w:val="center"/>
              <w:rPr>
                <w:rFonts w:eastAsiaTheme="minorHAnsi"/>
                <w:lang w:val="fi-FI"/>
              </w:rPr>
            </w:pPr>
            <w:r>
              <w:t>22,0825</w:t>
            </w:r>
          </w:p>
        </w:tc>
        <w:tc>
          <w:tcPr>
            <w:tcW w:w="1984" w:type="dxa"/>
            <w:vMerge/>
            <w:tcBorders>
              <w:left w:val="nil"/>
              <w:right w:val="nil"/>
            </w:tcBorders>
            <w:vAlign w:val="center"/>
          </w:tcPr>
          <w:p w14:paraId="7EF6F16B"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6298843D" w14:textId="77777777" w:rsidR="002F2D25" w:rsidRDefault="002F2D25">
            <w:pPr>
              <w:spacing w:line="276" w:lineRule="auto"/>
              <w:jc w:val="center"/>
              <w:rPr>
                <w:rFonts w:eastAsiaTheme="minorHAnsi"/>
                <w:lang w:val="fi-FI"/>
              </w:rPr>
            </w:pPr>
          </w:p>
        </w:tc>
      </w:tr>
      <w:tr w:rsidR="002F2D25" w14:paraId="41CD41B6" w14:textId="77777777">
        <w:trPr>
          <w:jc w:val="center"/>
        </w:trPr>
        <w:tc>
          <w:tcPr>
            <w:tcW w:w="1134" w:type="dxa"/>
            <w:vMerge/>
            <w:tcBorders>
              <w:right w:val="nil"/>
            </w:tcBorders>
            <w:vAlign w:val="center"/>
          </w:tcPr>
          <w:p w14:paraId="3827D6AF"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6B63DB9A" w14:textId="77777777" w:rsidR="002F2D25" w:rsidRDefault="00000000">
            <w:pPr>
              <w:spacing w:line="276" w:lineRule="auto"/>
              <w:jc w:val="center"/>
              <w:rPr>
                <w:rFonts w:eastAsiaTheme="minorHAnsi"/>
                <w:lang w:val="fi-FI"/>
              </w:rPr>
            </w:pPr>
            <w:r>
              <w:t>8</w:t>
            </w:r>
          </w:p>
        </w:tc>
        <w:tc>
          <w:tcPr>
            <w:tcW w:w="1195" w:type="dxa"/>
            <w:tcBorders>
              <w:left w:val="nil"/>
              <w:right w:val="nil"/>
            </w:tcBorders>
          </w:tcPr>
          <w:p w14:paraId="70EC8F97" w14:textId="77777777" w:rsidR="002F2D25" w:rsidRDefault="00000000">
            <w:pPr>
              <w:spacing w:line="276" w:lineRule="auto"/>
              <w:jc w:val="center"/>
              <w:rPr>
                <w:rFonts w:eastAsiaTheme="minorHAnsi"/>
                <w:lang w:val="fi-FI"/>
              </w:rPr>
            </w:pPr>
            <w:r>
              <w:t>0,5803</w:t>
            </w:r>
          </w:p>
        </w:tc>
        <w:tc>
          <w:tcPr>
            <w:tcW w:w="1241" w:type="dxa"/>
            <w:tcBorders>
              <w:left w:val="nil"/>
              <w:right w:val="nil"/>
            </w:tcBorders>
          </w:tcPr>
          <w:p w14:paraId="3E4D7C62" w14:textId="77777777" w:rsidR="002F2D25" w:rsidRDefault="00000000">
            <w:pPr>
              <w:spacing w:line="276" w:lineRule="auto"/>
              <w:jc w:val="center"/>
              <w:rPr>
                <w:rFonts w:eastAsiaTheme="minorHAnsi"/>
                <w:lang w:val="fi-FI"/>
              </w:rPr>
            </w:pPr>
            <w:r>
              <w:t>26,2788</w:t>
            </w:r>
          </w:p>
        </w:tc>
        <w:tc>
          <w:tcPr>
            <w:tcW w:w="1984" w:type="dxa"/>
            <w:vMerge/>
            <w:tcBorders>
              <w:left w:val="nil"/>
              <w:right w:val="nil"/>
            </w:tcBorders>
            <w:vAlign w:val="center"/>
          </w:tcPr>
          <w:p w14:paraId="3DA97E10"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2A560A13" w14:textId="77777777" w:rsidR="002F2D25" w:rsidRDefault="002F2D25">
            <w:pPr>
              <w:spacing w:line="276" w:lineRule="auto"/>
              <w:jc w:val="center"/>
              <w:rPr>
                <w:rFonts w:eastAsiaTheme="minorHAnsi"/>
                <w:lang w:val="fi-FI"/>
              </w:rPr>
            </w:pPr>
          </w:p>
        </w:tc>
      </w:tr>
      <w:tr w:rsidR="002F2D25" w14:paraId="08ACA070" w14:textId="77777777">
        <w:trPr>
          <w:jc w:val="center"/>
        </w:trPr>
        <w:tc>
          <w:tcPr>
            <w:tcW w:w="1134" w:type="dxa"/>
            <w:vMerge w:val="restart"/>
            <w:tcBorders>
              <w:right w:val="nil"/>
            </w:tcBorders>
            <w:vAlign w:val="center"/>
          </w:tcPr>
          <w:p w14:paraId="7A5EAF8A" w14:textId="77777777" w:rsidR="002F2D25" w:rsidRDefault="00000000">
            <w:pPr>
              <w:spacing w:line="276" w:lineRule="auto"/>
              <w:jc w:val="center"/>
              <w:rPr>
                <w:rFonts w:eastAsiaTheme="minorHAnsi"/>
                <w:lang w:val="fi-FI"/>
              </w:rPr>
            </w:pPr>
            <w:r>
              <w:rPr>
                <w:rStyle w:val="Strong"/>
                <w:b w:val="0"/>
                <w:bCs w:val="0"/>
              </w:rPr>
              <w:t>F2 (10%)</w:t>
            </w:r>
          </w:p>
          <w:p w14:paraId="1D814BD4"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0446BFE3" w14:textId="77777777" w:rsidR="002F2D25" w:rsidRDefault="00000000">
            <w:pPr>
              <w:spacing w:line="276" w:lineRule="auto"/>
              <w:jc w:val="center"/>
              <w:rPr>
                <w:rFonts w:eastAsiaTheme="minorHAnsi"/>
                <w:lang w:val="fi-FI"/>
              </w:rPr>
            </w:pPr>
            <w:r>
              <w:t>2</w:t>
            </w:r>
          </w:p>
        </w:tc>
        <w:tc>
          <w:tcPr>
            <w:tcW w:w="1195" w:type="dxa"/>
            <w:tcBorders>
              <w:left w:val="nil"/>
              <w:right w:val="nil"/>
            </w:tcBorders>
          </w:tcPr>
          <w:p w14:paraId="293C1FF6" w14:textId="77777777" w:rsidR="002F2D25" w:rsidRDefault="00000000">
            <w:pPr>
              <w:spacing w:line="276" w:lineRule="auto"/>
              <w:jc w:val="center"/>
              <w:rPr>
                <w:rFonts w:eastAsiaTheme="minorHAnsi"/>
                <w:lang w:val="fi-FI"/>
              </w:rPr>
            </w:pPr>
            <w:r>
              <w:t>0,6825</w:t>
            </w:r>
          </w:p>
        </w:tc>
        <w:tc>
          <w:tcPr>
            <w:tcW w:w="1241" w:type="dxa"/>
            <w:tcBorders>
              <w:left w:val="nil"/>
              <w:right w:val="nil"/>
            </w:tcBorders>
          </w:tcPr>
          <w:p w14:paraId="02A2F890" w14:textId="77777777" w:rsidR="002F2D25" w:rsidRDefault="00000000">
            <w:pPr>
              <w:spacing w:line="276" w:lineRule="auto"/>
              <w:jc w:val="center"/>
              <w:rPr>
                <w:rFonts w:eastAsiaTheme="minorHAnsi"/>
                <w:lang w:val="fi-FI"/>
              </w:rPr>
            </w:pPr>
            <w:r>
              <w:t>13,3045</w:t>
            </w:r>
          </w:p>
        </w:tc>
        <w:tc>
          <w:tcPr>
            <w:tcW w:w="1984" w:type="dxa"/>
            <w:vMerge w:val="restart"/>
            <w:tcBorders>
              <w:left w:val="nil"/>
              <w:right w:val="nil"/>
            </w:tcBorders>
            <w:vAlign w:val="center"/>
          </w:tcPr>
          <w:p w14:paraId="412657C5" w14:textId="77777777" w:rsidR="002F2D25" w:rsidRDefault="00000000">
            <w:pPr>
              <w:spacing w:line="276" w:lineRule="auto"/>
              <w:jc w:val="center"/>
              <w:rPr>
                <w:rFonts w:eastAsiaTheme="minorHAnsi"/>
                <w:lang w:val="fi-FI"/>
              </w:rPr>
            </w:pPr>
            <w:r>
              <w:t>y = 1,9296x + 8,9939</w:t>
            </w:r>
          </w:p>
          <w:p w14:paraId="770207E4" w14:textId="77777777" w:rsidR="002F2D25" w:rsidRDefault="002F2D25">
            <w:pPr>
              <w:spacing w:line="276" w:lineRule="auto"/>
              <w:jc w:val="center"/>
              <w:rPr>
                <w:rFonts w:eastAsiaTheme="minorHAnsi"/>
                <w:lang w:val="fi-FI"/>
              </w:rPr>
            </w:pPr>
          </w:p>
        </w:tc>
        <w:tc>
          <w:tcPr>
            <w:tcW w:w="1134" w:type="dxa"/>
            <w:vMerge w:val="restart"/>
            <w:tcBorders>
              <w:left w:val="nil"/>
            </w:tcBorders>
            <w:vAlign w:val="center"/>
          </w:tcPr>
          <w:p w14:paraId="23F5B92E" w14:textId="77777777" w:rsidR="002F2D25" w:rsidRDefault="00000000">
            <w:pPr>
              <w:spacing w:line="276" w:lineRule="auto"/>
              <w:jc w:val="center"/>
              <w:rPr>
                <w:rFonts w:eastAsiaTheme="minorHAnsi"/>
                <w:lang w:val="fi-FI"/>
              </w:rPr>
            </w:pPr>
            <w:r>
              <w:t>21,25</w:t>
            </w:r>
          </w:p>
          <w:p w14:paraId="24CDDD39" w14:textId="77777777" w:rsidR="002F2D25" w:rsidRDefault="002F2D25">
            <w:pPr>
              <w:spacing w:line="276" w:lineRule="auto"/>
              <w:jc w:val="center"/>
              <w:rPr>
                <w:rFonts w:eastAsiaTheme="minorHAnsi"/>
                <w:lang w:val="fi-FI"/>
              </w:rPr>
            </w:pPr>
          </w:p>
        </w:tc>
      </w:tr>
      <w:tr w:rsidR="002F2D25" w14:paraId="3F3DB88D" w14:textId="77777777">
        <w:trPr>
          <w:jc w:val="center"/>
        </w:trPr>
        <w:tc>
          <w:tcPr>
            <w:tcW w:w="1134" w:type="dxa"/>
            <w:vMerge/>
            <w:tcBorders>
              <w:right w:val="nil"/>
            </w:tcBorders>
            <w:vAlign w:val="center"/>
          </w:tcPr>
          <w:p w14:paraId="61939C29"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76DAC8ED" w14:textId="77777777" w:rsidR="002F2D25" w:rsidRDefault="00000000">
            <w:pPr>
              <w:spacing w:line="276" w:lineRule="auto"/>
              <w:jc w:val="center"/>
              <w:rPr>
                <w:rFonts w:eastAsiaTheme="minorHAnsi"/>
                <w:lang w:val="fi-FI"/>
              </w:rPr>
            </w:pPr>
            <w:r>
              <w:t>4</w:t>
            </w:r>
          </w:p>
        </w:tc>
        <w:tc>
          <w:tcPr>
            <w:tcW w:w="1195" w:type="dxa"/>
            <w:tcBorders>
              <w:left w:val="nil"/>
              <w:right w:val="nil"/>
            </w:tcBorders>
          </w:tcPr>
          <w:p w14:paraId="425B2BDA" w14:textId="77777777" w:rsidR="002F2D25" w:rsidRDefault="00000000">
            <w:pPr>
              <w:spacing w:line="276" w:lineRule="auto"/>
              <w:jc w:val="center"/>
              <w:rPr>
                <w:rFonts w:eastAsiaTheme="minorHAnsi"/>
                <w:lang w:val="fi-FI"/>
              </w:rPr>
            </w:pPr>
            <w:r>
              <w:t>0,6592</w:t>
            </w:r>
          </w:p>
        </w:tc>
        <w:tc>
          <w:tcPr>
            <w:tcW w:w="1241" w:type="dxa"/>
            <w:tcBorders>
              <w:left w:val="nil"/>
              <w:right w:val="nil"/>
            </w:tcBorders>
          </w:tcPr>
          <w:p w14:paraId="3EAE187F" w14:textId="77777777" w:rsidR="002F2D25" w:rsidRDefault="00000000">
            <w:pPr>
              <w:spacing w:line="276" w:lineRule="auto"/>
              <w:jc w:val="center"/>
              <w:rPr>
                <w:rFonts w:eastAsiaTheme="minorHAnsi"/>
                <w:lang w:val="fi-FI"/>
              </w:rPr>
            </w:pPr>
            <w:r>
              <w:t>16,2644</w:t>
            </w:r>
          </w:p>
        </w:tc>
        <w:tc>
          <w:tcPr>
            <w:tcW w:w="1984" w:type="dxa"/>
            <w:vMerge/>
            <w:tcBorders>
              <w:left w:val="nil"/>
              <w:right w:val="nil"/>
            </w:tcBorders>
            <w:vAlign w:val="center"/>
          </w:tcPr>
          <w:p w14:paraId="37EE92DC"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5684C9C7" w14:textId="77777777" w:rsidR="002F2D25" w:rsidRDefault="002F2D25">
            <w:pPr>
              <w:spacing w:line="276" w:lineRule="auto"/>
              <w:jc w:val="center"/>
              <w:rPr>
                <w:rFonts w:eastAsiaTheme="minorHAnsi"/>
                <w:lang w:val="fi-FI"/>
              </w:rPr>
            </w:pPr>
          </w:p>
        </w:tc>
      </w:tr>
      <w:tr w:rsidR="002F2D25" w14:paraId="3CF190C3" w14:textId="77777777">
        <w:trPr>
          <w:jc w:val="center"/>
        </w:trPr>
        <w:tc>
          <w:tcPr>
            <w:tcW w:w="1134" w:type="dxa"/>
            <w:vMerge/>
            <w:tcBorders>
              <w:right w:val="nil"/>
            </w:tcBorders>
            <w:vAlign w:val="center"/>
          </w:tcPr>
          <w:p w14:paraId="3DDDCA38"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00A3ADC0" w14:textId="77777777" w:rsidR="002F2D25" w:rsidRDefault="00000000">
            <w:pPr>
              <w:spacing w:line="276" w:lineRule="auto"/>
              <w:jc w:val="center"/>
              <w:rPr>
                <w:rFonts w:eastAsiaTheme="minorHAnsi"/>
                <w:lang w:val="fi-FI"/>
              </w:rPr>
            </w:pPr>
            <w:r>
              <w:t>6</w:t>
            </w:r>
          </w:p>
        </w:tc>
        <w:tc>
          <w:tcPr>
            <w:tcW w:w="1195" w:type="dxa"/>
            <w:tcBorders>
              <w:left w:val="nil"/>
              <w:right w:val="nil"/>
            </w:tcBorders>
          </w:tcPr>
          <w:p w14:paraId="224D4557" w14:textId="77777777" w:rsidR="002F2D25" w:rsidRDefault="00000000">
            <w:pPr>
              <w:spacing w:line="276" w:lineRule="auto"/>
              <w:jc w:val="center"/>
              <w:rPr>
                <w:rFonts w:eastAsiaTheme="minorHAnsi"/>
                <w:lang w:val="fi-FI"/>
              </w:rPr>
            </w:pPr>
            <w:r>
              <w:t>0,6289</w:t>
            </w:r>
          </w:p>
        </w:tc>
        <w:tc>
          <w:tcPr>
            <w:tcW w:w="1241" w:type="dxa"/>
            <w:tcBorders>
              <w:left w:val="nil"/>
              <w:right w:val="nil"/>
            </w:tcBorders>
          </w:tcPr>
          <w:p w14:paraId="0969E2FE" w14:textId="77777777" w:rsidR="002F2D25" w:rsidRDefault="00000000">
            <w:pPr>
              <w:spacing w:line="276" w:lineRule="auto"/>
              <w:jc w:val="center"/>
              <w:rPr>
                <w:rFonts w:eastAsiaTheme="minorHAnsi"/>
                <w:lang w:val="fi-FI"/>
              </w:rPr>
            </w:pPr>
            <w:r>
              <w:t>20,1135</w:t>
            </w:r>
          </w:p>
        </w:tc>
        <w:tc>
          <w:tcPr>
            <w:tcW w:w="1984" w:type="dxa"/>
            <w:vMerge/>
            <w:tcBorders>
              <w:left w:val="nil"/>
              <w:right w:val="nil"/>
            </w:tcBorders>
            <w:vAlign w:val="center"/>
          </w:tcPr>
          <w:p w14:paraId="3E35D4B9"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322E8002" w14:textId="77777777" w:rsidR="002F2D25" w:rsidRDefault="002F2D25">
            <w:pPr>
              <w:spacing w:line="276" w:lineRule="auto"/>
              <w:jc w:val="center"/>
              <w:rPr>
                <w:rFonts w:eastAsiaTheme="minorHAnsi"/>
                <w:lang w:val="fi-FI"/>
              </w:rPr>
            </w:pPr>
          </w:p>
        </w:tc>
      </w:tr>
      <w:tr w:rsidR="002F2D25" w14:paraId="1AD805D4" w14:textId="77777777">
        <w:trPr>
          <w:jc w:val="center"/>
        </w:trPr>
        <w:tc>
          <w:tcPr>
            <w:tcW w:w="1134" w:type="dxa"/>
            <w:vMerge/>
            <w:tcBorders>
              <w:right w:val="nil"/>
            </w:tcBorders>
            <w:vAlign w:val="center"/>
          </w:tcPr>
          <w:p w14:paraId="1A4B5FFC"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58AE038A" w14:textId="77777777" w:rsidR="002F2D25" w:rsidRDefault="00000000">
            <w:pPr>
              <w:spacing w:line="276" w:lineRule="auto"/>
              <w:jc w:val="center"/>
              <w:rPr>
                <w:rFonts w:eastAsiaTheme="minorHAnsi"/>
                <w:lang w:val="fi-FI"/>
              </w:rPr>
            </w:pPr>
            <w:r>
              <w:t>8</w:t>
            </w:r>
          </w:p>
        </w:tc>
        <w:tc>
          <w:tcPr>
            <w:tcW w:w="1195" w:type="dxa"/>
            <w:tcBorders>
              <w:left w:val="nil"/>
              <w:right w:val="nil"/>
            </w:tcBorders>
          </w:tcPr>
          <w:p w14:paraId="26CA996E" w14:textId="77777777" w:rsidR="002F2D25" w:rsidRDefault="00000000">
            <w:pPr>
              <w:spacing w:line="276" w:lineRule="auto"/>
              <w:jc w:val="center"/>
              <w:rPr>
                <w:rFonts w:eastAsiaTheme="minorHAnsi"/>
                <w:lang w:val="fi-FI"/>
              </w:rPr>
            </w:pPr>
            <w:r>
              <w:t>0,5913</w:t>
            </w:r>
          </w:p>
        </w:tc>
        <w:tc>
          <w:tcPr>
            <w:tcW w:w="1241" w:type="dxa"/>
            <w:tcBorders>
              <w:left w:val="nil"/>
              <w:right w:val="nil"/>
            </w:tcBorders>
          </w:tcPr>
          <w:p w14:paraId="456CD1B3" w14:textId="77777777" w:rsidR="002F2D25" w:rsidRDefault="00000000">
            <w:pPr>
              <w:spacing w:line="276" w:lineRule="auto"/>
              <w:jc w:val="center"/>
              <w:rPr>
                <w:rFonts w:eastAsiaTheme="minorHAnsi"/>
                <w:lang w:val="fi-FI"/>
              </w:rPr>
            </w:pPr>
            <w:r>
              <w:t>24,8857</w:t>
            </w:r>
          </w:p>
        </w:tc>
        <w:tc>
          <w:tcPr>
            <w:tcW w:w="1984" w:type="dxa"/>
            <w:vMerge/>
            <w:tcBorders>
              <w:left w:val="nil"/>
              <w:right w:val="nil"/>
            </w:tcBorders>
            <w:vAlign w:val="center"/>
          </w:tcPr>
          <w:p w14:paraId="7AB59777" w14:textId="77777777" w:rsidR="002F2D25" w:rsidRDefault="002F2D25">
            <w:pPr>
              <w:spacing w:line="276" w:lineRule="auto"/>
              <w:jc w:val="center"/>
              <w:rPr>
                <w:rFonts w:eastAsiaTheme="minorHAnsi"/>
                <w:lang w:val="fi-FI"/>
              </w:rPr>
            </w:pPr>
          </w:p>
        </w:tc>
        <w:tc>
          <w:tcPr>
            <w:tcW w:w="1134" w:type="dxa"/>
            <w:vMerge/>
            <w:tcBorders>
              <w:left w:val="nil"/>
            </w:tcBorders>
            <w:vAlign w:val="center"/>
          </w:tcPr>
          <w:p w14:paraId="2380AF76" w14:textId="77777777" w:rsidR="002F2D25" w:rsidRDefault="002F2D25">
            <w:pPr>
              <w:spacing w:line="276" w:lineRule="auto"/>
              <w:jc w:val="center"/>
              <w:rPr>
                <w:rFonts w:eastAsiaTheme="minorHAnsi"/>
                <w:lang w:val="fi-FI"/>
              </w:rPr>
            </w:pPr>
          </w:p>
        </w:tc>
      </w:tr>
      <w:tr w:rsidR="002F2D25" w14:paraId="768718D0" w14:textId="77777777">
        <w:trPr>
          <w:jc w:val="center"/>
        </w:trPr>
        <w:tc>
          <w:tcPr>
            <w:tcW w:w="1134" w:type="dxa"/>
            <w:vMerge w:val="restart"/>
            <w:tcBorders>
              <w:right w:val="nil"/>
            </w:tcBorders>
            <w:vAlign w:val="center"/>
          </w:tcPr>
          <w:p w14:paraId="6C646630" w14:textId="77777777" w:rsidR="002F2D25" w:rsidRDefault="00000000">
            <w:pPr>
              <w:spacing w:line="276" w:lineRule="auto"/>
              <w:jc w:val="center"/>
              <w:rPr>
                <w:rFonts w:eastAsiaTheme="minorHAnsi"/>
                <w:lang w:val="fi-FI"/>
              </w:rPr>
            </w:pPr>
            <w:r>
              <w:t>F3 (15%)</w:t>
            </w:r>
          </w:p>
          <w:p w14:paraId="62B126E9" w14:textId="77777777" w:rsidR="002F2D25" w:rsidRDefault="002F2D25">
            <w:pPr>
              <w:spacing w:line="276" w:lineRule="auto"/>
              <w:jc w:val="center"/>
              <w:rPr>
                <w:rFonts w:eastAsiaTheme="minorHAnsi"/>
                <w:lang w:val="fi-FI"/>
              </w:rPr>
            </w:pPr>
          </w:p>
        </w:tc>
        <w:tc>
          <w:tcPr>
            <w:tcW w:w="1250" w:type="dxa"/>
            <w:tcBorders>
              <w:left w:val="nil"/>
              <w:right w:val="nil"/>
            </w:tcBorders>
            <w:vAlign w:val="center"/>
          </w:tcPr>
          <w:p w14:paraId="412EB301" w14:textId="77777777" w:rsidR="002F2D25" w:rsidRDefault="00000000">
            <w:pPr>
              <w:spacing w:line="276" w:lineRule="auto"/>
              <w:jc w:val="center"/>
              <w:rPr>
                <w:rFonts w:eastAsiaTheme="minorHAnsi"/>
                <w:lang w:val="fi-FI"/>
              </w:rPr>
            </w:pPr>
            <w:r>
              <w:t>2</w:t>
            </w:r>
          </w:p>
        </w:tc>
        <w:tc>
          <w:tcPr>
            <w:tcW w:w="1195" w:type="dxa"/>
            <w:tcBorders>
              <w:left w:val="nil"/>
              <w:right w:val="nil"/>
            </w:tcBorders>
          </w:tcPr>
          <w:p w14:paraId="3795F898" w14:textId="77777777" w:rsidR="002F2D25" w:rsidRDefault="00000000">
            <w:pPr>
              <w:spacing w:line="276" w:lineRule="auto"/>
              <w:jc w:val="center"/>
              <w:rPr>
                <w:rFonts w:eastAsiaTheme="minorHAnsi"/>
                <w:lang w:val="fi-FI"/>
              </w:rPr>
            </w:pPr>
            <w:r>
              <w:t>0,6706</w:t>
            </w:r>
          </w:p>
        </w:tc>
        <w:tc>
          <w:tcPr>
            <w:tcW w:w="1241" w:type="dxa"/>
            <w:tcBorders>
              <w:left w:val="nil"/>
              <w:right w:val="nil"/>
            </w:tcBorders>
          </w:tcPr>
          <w:p w14:paraId="0F6EA0C9" w14:textId="77777777" w:rsidR="002F2D25" w:rsidRDefault="00000000">
            <w:pPr>
              <w:spacing w:line="276" w:lineRule="auto"/>
              <w:jc w:val="center"/>
              <w:rPr>
                <w:rFonts w:eastAsiaTheme="minorHAnsi"/>
                <w:lang w:val="fi-FI"/>
              </w:rPr>
            </w:pPr>
            <w:r>
              <w:t>14,8162</w:t>
            </w:r>
          </w:p>
        </w:tc>
        <w:tc>
          <w:tcPr>
            <w:tcW w:w="1984" w:type="dxa"/>
            <w:vMerge w:val="restart"/>
            <w:tcBorders>
              <w:left w:val="nil"/>
              <w:right w:val="nil"/>
            </w:tcBorders>
            <w:vAlign w:val="center"/>
          </w:tcPr>
          <w:p w14:paraId="221AF006" w14:textId="77777777" w:rsidR="002F2D25" w:rsidRDefault="00000000">
            <w:pPr>
              <w:spacing w:line="276" w:lineRule="auto"/>
              <w:jc w:val="center"/>
              <w:rPr>
                <w:rFonts w:eastAsiaTheme="minorHAnsi"/>
                <w:lang w:val="fi-FI"/>
              </w:rPr>
            </w:pPr>
            <w:r>
              <w:t>y = 1,8985x + 10,669</w:t>
            </w:r>
          </w:p>
          <w:p w14:paraId="7E76E813" w14:textId="77777777" w:rsidR="002F2D25" w:rsidRDefault="002F2D25">
            <w:pPr>
              <w:spacing w:line="276" w:lineRule="auto"/>
              <w:jc w:val="center"/>
              <w:rPr>
                <w:rFonts w:eastAsiaTheme="minorHAnsi"/>
                <w:lang w:val="fi-FI"/>
              </w:rPr>
            </w:pPr>
          </w:p>
        </w:tc>
        <w:tc>
          <w:tcPr>
            <w:tcW w:w="1134" w:type="dxa"/>
            <w:vMerge w:val="restart"/>
            <w:tcBorders>
              <w:left w:val="nil"/>
            </w:tcBorders>
          </w:tcPr>
          <w:p w14:paraId="32B20F33" w14:textId="77777777" w:rsidR="002F2D25" w:rsidRDefault="002F2D25">
            <w:pPr>
              <w:spacing w:line="276" w:lineRule="auto"/>
              <w:jc w:val="center"/>
            </w:pPr>
          </w:p>
          <w:p w14:paraId="73FDD963" w14:textId="77777777" w:rsidR="002F2D25" w:rsidRDefault="002F2D25">
            <w:pPr>
              <w:spacing w:line="276" w:lineRule="auto"/>
              <w:jc w:val="center"/>
              <w:rPr>
                <w:rFonts w:eastAsiaTheme="minorHAnsi"/>
              </w:rPr>
            </w:pPr>
          </w:p>
          <w:p w14:paraId="6C899E34" w14:textId="77777777" w:rsidR="002F2D25" w:rsidRDefault="00000000">
            <w:pPr>
              <w:spacing w:line="276" w:lineRule="auto"/>
              <w:jc w:val="center"/>
              <w:rPr>
                <w:rFonts w:eastAsiaTheme="minorHAnsi"/>
                <w:lang w:val="fi-FI"/>
              </w:rPr>
            </w:pPr>
            <w:r>
              <w:rPr>
                <w:rFonts w:eastAsiaTheme="minorHAnsi"/>
              </w:rPr>
              <w:t>20,72</w:t>
            </w:r>
          </w:p>
        </w:tc>
      </w:tr>
      <w:tr w:rsidR="002F2D25" w14:paraId="72D1C459" w14:textId="77777777">
        <w:trPr>
          <w:jc w:val="center"/>
        </w:trPr>
        <w:tc>
          <w:tcPr>
            <w:tcW w:w="1134" w:type="dxa"/>
            <w:vMerge/>
            <w:tcBorders>
              <w:right w:val="nil"/>
            </w:tcBorders>
          </w:tcPr>
          <w:p w14:paraId="37CFE15E" w14:textId="77777777" w:rsidR="002F2D25" w:rsidRDefault="002F2D25">
            <w:pPr>
              <w:spacing w:line="276" w:lineRule="auto"/>
              <w:jc w:val="center"/>
              <w:rPr>
                <w:rFonts w:eastAsiaTheme="minorHAnsi"/>
                <w:lang w:val="fi-FI"/>
              </w:rPr>
            </w:pPr>
          </w:p>
        </w:tc>
        <w:tc>
          <w:tcPr>
            <w:tcW w:w="1250" w:type="dxa"/>
            <w:tcBorders>
              <w:left w:val="nil"/>
              <w:right w:val="nil"/>
            </w:tcBorders>
          </w:tcPr>
          <w:p w14:paraId="3D05AC17" w14:textId="77777777" w:rsidR="002F2D25" w:rsidRDefault="00000000">
            <w:pPr>
              <w:spacing w:line="276" w:lineRule="auto"/>
              <w:jc w:val="center"/>
              <w:rPr>
                <w:rFonts w:eastAsiaTheme="minorHAnsi"/>
                <w:lang w:val="fi-FI"/>
              </w:rPr>
            </w:pPr>
            <w:r>
              <w:t>4</w:t>
            </w:r>
          </w:p>
        </w:tc>
        <w:tc>
          <w:tcPr>
            <w:tcW w:w="1195" w:type="dxa"/>
            <w:tcBorders>
              <w:left w:val="nil"/>
              <w:right w:val="nil"/>
            </w:tcBorders>
          </w:tcPr>
          <w:p w14:paraId="1DA7B923" w14:textId="77777777" w:rsidR="002F2D25" w:rsidRDefault="00000000">
            <w:pPr>
              <w:spacing w:line="276" w:lineRule="auto"/>
              <w:jc w:val="center"/>
              <w:rPr>
                <w:rFonts w:eastAsiaTheme="minorHAnsi"/>
                <w:lang w:val="fi-FI"/>
              </w:rPr>
            </w:pPr>
            <w:r>
              <w:t>0,6458</w:t>
            </w:r>
          </w:p>
        </w:tc>
        <w:tc>
          <w:tcPr>
            <w:tcW w:w="1241" w:type="dxa"/>
            <w:tcBorders>
              <w:left w:val="nil"/>
              <w:right w:val="nil"/>
            </w:tcBorders>
          </w:tcPr>
          <w:p w14:paraId="467631D5" w14:textId="77777777" w:rsidR="002F2D25" w:rsidRDefault="00000000">
            <w:pPr>
              <w:spacing w:line="276" w:lineRule="auto"/>
              <w:jc w:val="center"/>
              <w:rPr>
                <w:rFonts w:eastAsiaTheme="minorHAnsi"/>
                <w:lang w:val="fi-FI"/>
              </w:rPr>
            </w:pPr>
            <w:r>
              <w:t>17,9582</w:t>
            </w:r>
          </w:p>
        </w:tc>
        <w:tc>
          <w:tcPr>
            <w:tcW w:w="1984" w:type="dxa"/>
            <w:vMerge/>
            <w:tcBorders>
              <w:left w:val="nil"/>
              <w:right w:val="nil"/>
            </w:tcBorders>
          </w:tcPr>
          <w:p w14:paraId="3F62821C" w14:textId="77777777" w:rsidR="002F2D25" w:rsidRDefault="002F2D25">
            <w:pPr>
              <w:spacing w:line="276" w:lineRule="auto"/>
              <w:jc w:val="center"/>
              <w:rPr>
                <w:rFonts w:eastAsiaTheme="minorHAnsi"/>
                <w:lang w:val="fi-FI"/>
              </w:rPr>
            </w:pPr>
          </w:p>
        </w:tc>
        <w:tc>
          <w:tcPr>
            <w:tcW w:w="1134" w:type="dxa"/>
            <w:vMerge/>
            <w:tcBorders>
              <w:left w:val="nil"/>
            </w:tcBorders>
          </w:tcPr>
          <w:p w14:paraId="41263BD2" w14:textId="77777777" w:rsidR="002F2D25" w:rsidRDefault="002F2D25">
            <w:pPr>
              <w:spacing w:line="276" w:lineRule="auto"/>
              <w:jc w:val="center"/>
              <w:rPr>
                <w:rFonts w:eastAsiaTheme="minorHAnsi"/>
                <w:lang w:val="fi-FI"/>
              </w:rPr>
            </w:pPr>
          </w:p>
        </w:tc>
      </w:tr>
      <w:tr w:rsidR="002F2D25" w14:paraId="43E75A3B" w14:textId="77777777">
        <w:trPr>
          <w:jc w:val="center"/>
        </w:trPr>
        <w:tc>
          <w:tcPr>
            <w:tcW w:w="1134" w:type="dxa"/>
            <w:vMerge/>
            <w:tcBorders>
              <w:right w:val="nil"/>
            </w:tcBorders>
          </w:tcPr>
          <w:p w14:paraId="74667B19" w14:textId="77777777" w:rsidR="002F2D25" w:rsidRDefault="002F2D25">
            <w:pPr>
              <w:spacing w:line="276" w:lineRule="auto"/>
              <w:jc w:val="center"/>
              <w:rPr>
                <w:rFonts w:eastAsiaTheme="minorHAnsi"/>
                <w:lang w:val="fi-FI"/>
              </w:rPr>
            </w:pPr>
          </w:p>
        </w:tc>
        <w:tc>
          <w:tcPr>
            <w:tcW w:w="1250" w:type="dxa"/>
            <w:tcBorders>
              <w:left w:val="nil"/>
              <w:right w:val="nil"/>
            </w:tcBorders>
          </w:tcPr>
          <w:p w14:paraId="1A8D5629" w14:textId="77777777" w:rsidR="002F2D25" w:rsidRDefault="00000000">
            <w:pPr>
              <w:spacing w:line="276" w:lineRule="auto"/>
              <w:jc w:val="center"/>
              <w:rPr>
                <w:rFonts w:eastAsiaTheme="minorHAnsi"/>
                <w:lang w:val="fi-FI"/>
              </w:rPr>
            </w:pPr>
            <w:r>
              <w:t>6</w:t>
            </w:r>
          </w:p>
        </w:tc>
        <w:tc>
          <w:tcPr>
            <w:tcW w:w="1195" w:type="dxa"/>
            <w:tcBorders>
              <w:left w:val="nil"/>
              <w:right w:val="nil"/>
            </w:tcBorders>
          </w:tcPr>
          <w:p w14:paraId="3B2F21E9" w14:textId="77777777" w:rsidR="002F2D25" w:rsidRDefault="00000000">
            <w:pPr>
              <w:spacing w:line="276" w:lineRule="auto"/>
              <w:jc w:val="center"/>
              <w:rPr>
                <w:rFonts w:eastAsiaTheme="minorHAnsi"/>
                <w:lang w:val="fi-FI"/>
              </w:rPr>
            </w:pPr>
            <w:r>
              <w:t>0,6170</w:t>
            </w:r>
          </w:p>
        </w:tc>
        <w:tc>
          <w:tcPr>
            <w:tcW w:w="1241" w:type="dxa"/>
            <w:tcBorders>
              <w:left w:val="nil"/>
              <w:right w:val="nil"/>
            </w:tcBorders>
          </w:tcPr>
          <w:p w14:paraId="1A34B845" w14:textId="77777777" w:rsidR="002F2D25" w:rsidRDefault="00000000">
            <w:pPr>
              <w:spacing w:line="276" w:lineRule="auto"/>
              <w:jc w:val="center"/>
              <w:rPr>
                <w:rFonts w:eastAsiaTheme="minorHAnsi"/>
                <w:lang w:val="fi-FI"/>
              </w:rPr>
            </w:pPr>
            <w:r>
              <w:t>21,6167</w:t>
            </w:r>
          </w:p>
        </w:tc>
        <w:tc>
          <w:tcPr>
            <w:tcW w:w="1984" w:type="dxa"/>
            <w:vMerge/>
            <w:tcBorders>
              <w:left w:val="nil"/>
              <w:right w:val="nil"/>
            </w:tcBorders>
          </w:tcPr>
          <w:p w14:paraId="738DF39F" w14:textId="77777777" w:rsidR="002F2D25" w:rsidRDefault="002F2D25">
            <w:pPr>
              <w:spacing w:line="276" w:lineRule="auto"/>
              <w:jc w:val="center"/>
              <w:rPr>
                <w:rFonts w:eastAsiaTheme="minorHAnsi"/>
                <w:lang w:val="fi-FI"/>
              </w:rPr>
            </w:pPr>
          </w:p>
        </w:tc>
        <w:tc>
          <w:tcPr>
            <w:tcW w:w="1134" w:type="dxa"/>
            <w:vMerge/>
            <w:tcBorders>
              <w:left w:val="nil"/>
            </w:tcBorders>
          </w:tcPr>
          <w:p w14:paraId="27C822AF" w14:textId="77777777" w:rsidR="002F2D25" w:rsidRDefault="002F2D25">
            <w:pPr>
              <w:spacing w:line="276" w:lineRule="auto"/>
              <w:jc w:val="center"/>
              <w:rPr>
                <w:rFonts w:eastAsiaTheme="minorHAnsi"/>
                <w:lang w:val="fi-FI"/>
              </w:rPr>
            </w:pPr>
          </w:p>
        </w:tc>
      </w:tr>
      <w:tr w:rsidR="002F2D25" w14:paraId="7602F0C9" w14:textId="77777777">
        <w:trPr>
          <w:jc w:val="center"/>
        </w:trPr>
        <w:tc>
          <w:tcPr>
            <w:tcW w:w="1134" w:type="dxa"/>
            <w:vMerge/>
            <w:tcBorders>
              <w:right w:val="nil"/>
            </w:tcBorders>
          </w:tcPr>
          <w:p w14:paraId="1D7D6E4A" w14:textId="77777777" w:rsidR="002F2D25" w:rsidRDefault="002F2D25">
            <w:pPr>
              <w:spacing w:line="276" w:lineRule="auto"/>
              <w:jc w:val="center"/>
              <w:rPr>
                <w:rFonts w:eastAsiaTheme="minorHAnsi"/>
                <w:lang w:val="fi-FI"/>
              </w:rPr>
            </w:pPr>
          </w:p>
        </w:tc>
        <w:tc>
          <w:tcPr>
            <w:tcW w:w="1250" w:type="dxa"/>
            <w:tcBorders>
              <w:left w:val="nil"/>
              <w:right w:val="nil"/>
            </w:tcBorders>
          </w:tcPr>
          <w:p w14:paraId="6FFCD317" w14:textId="77777777" w:rsidR="002F2D25" w:rsidRDefault="00000000">
            <w:pPr>
              <w:spacing w:line="276" w:lineRule="auto"/>
              <w:jc w:val="center"/>
              <w:rPr>
                <w:rFonts w:eastAsiaTheme="minorHAnsi"/>
                <w:lang w:val="fi-FI"/>
              </w:rPr>
            </w:pPr>
            <w:r>
              <w:t>8</w:t>
            </w:r>
          </w:p>
        </w:tc>
        <w:tc>
          <w:tcPr>
            <w:tcW w:w="1195" w:type="dxa"/>
            <w:tcBorders>
              <w:left w:val="nil"/>
              <w:right w:val="nil"/>
            </w:tcBorders>
          </w:tcPr>
          <w:p w14:paraId="513AFAC3" w14:textId="77777777" w:rsidR="002F2D25" w:rsidRDefault="00000000">
            <w:pPr>
              <w:spacing w:line="276" w:lineRule="auto"/>
              <w:jc w:val="center"/>
              <w:rPr>
                <w:rFonts w:eastAsiaTheme="minorHAnsi"/>
                <w:lang w:val="fi-FI"/>
              </w:rPr>
            </w:pPr>
            <w:r>
              <w:t>0,5805</w:t>
            </w:r>
          </w:p>
        </w:tc>
        <w:tc>
          <w:tcPr>
            <w:tcW w:w="1241" w:type="dxa"/>
            <w:tcBorders>
              <w:left w:val="nil"/>
              <w:right w:val="nil"/>
            </w:tcBorders>
          </w:tcPr>
          <w:p w14:paraId="5EB2E9C6" w14:textId="77777777" w:rsidR="002F2D25" w:rsidRDefault="00000000">
            <w:pPr>
              <w:spacing w:line="276" w:lineRule="auto"/>
              <w:jc w:val="center"/>
              <w:rPr>
                <w:rFonts w:eastAsiaTheme="minorHAnsi"/>
                <w:lang w:val="fi-FI"/>
              </w:rPr>
            </w:pPr>
            <w:r>
              <w:t>26,2534</w:t>
            </w:r>
          </w:p>
        </w:tc>
        <w:tc>
          <w:tcPr>
            <w:tcW w:w="1984" w:type="dxa"/>
            <w:vMerge/>
            <w:tcBorders>
              <w:left w:val="nil"/>
              <w:right w:val="nil"/>
            </w:tcBorders>
          </w:tcPr>
          <w:p w14:paraId="10BF3018" w14:textId="77777777" w:rsidR="002F2D25" w:rsidRDefault="002F2D25">
            <w:pPr>
              <w:spacing w:line="276" w:lineRule="auto"/>
              <w:jc w:val="center"/>
              <w:rPr>
                <w:rFonts w:eastAsiaTheme="minorHAnsi"/>
                <w:lang w:val="fi-FI"/>
              </w:rPr>
            </w:pPr>
          </w:p>
        </w:tc>
        <w:tc>
          <w:tcPr>
            <w:tcW w:w="1134" w:type="dxa"/>
            <w:vMerge/>
            <w:tcBorders>
              <w:left w:val="nil"/>
            </w:tcBorders>
          </w:tcPr>
          <w:p w14:paraId="11A4B00F" w14:textId="77777777" w:rsidR="002F2D25" w:rsidRDefault="002F2D25">
            <w:pPr>
              <w:spacing w:line="276" w:lineRule="auto"/>
              <w:jc w:val="center"/>
              <w:rPr>
                <w:rFonts w:eastAsiaTheme="minorHAnsi"/>
                <w:lang w:val="fi-FI"/>
              </w:rPr>
            </w:pPr>
          </w:p>
        </w:tc>
      </w:tr>
    </w:tbl>
    <w:p w14:paraId="69DC37D8" w14:textId="77777777" w:rsidR="002F2D25" w:rsidRDefault="002F2D25" w:rsidP="00886A65">
      <w:pPr>
        <w:spacing w:line="276" w:lineRule="auto"/>
        <w:rPr>
          <w:rFonts w:eastAsiaTheme="minorHAnsi"/>
          <w:lang w:val="fi-FI"/>
        </w:rPr>
      </w:pPr>
    </w:p>
    <w:p w14:paraId="405737CE" w14:textId="77777777" w:rsidR="002F2D25" w:rsidRDefault="00000000">
      <w:pPr>
        <w:spacing w:line="276" w:lineRule="auto"/>
        <w:jc w:val="both"/>
        <w:rPr>
          <w:rFonts w:eastAsiaTheme="minorHAnsi"/>
          <w:lang w:val="zh-CN"/>
        </w:rPr>
      </w:pPr>
      <w:r>
        <w:rPr>
          <w:rFonts w:eastAsiaTheme="minorHAnsi"/>
          <w:lang w:val="fi-FI"/>
        </w:rPr>
        <w:t xml:space="preserve">Hasil uji aktivitas antioksidan menunjukkan bahwa sediaan gel </w:t>
      </w:r>
      <w:r>
        <w:rPr>
          <w:rFonts w:eastAsiaTheme="minorHAnsi"/>
          <w:lang w:val="zh-CN"/>
        </w:rPr>
        <w:t>Pada F1</w:t>
      </w:r>
      <w:r w:rsidR="009A0A10" w:rsidRPr="009A0A10">
        <w:rPr>
          <w:rFonts w:eastAsiaTheme="minorHAnsi"/>
          <w:lang w:val="fi-FI"/>
        </w:rPr>
        <w:t xml:space="preserve"> </w:t>
      </w:r>
      <w:r w:rsidR="009A0A10">
        <w:rPr>
          <w:rFonts w:eastAsiaTheme="minorHAnsi"/>
          <w:lang w:val="fi-FI"/>
        </w:rPr>
        <w:t>memiliki</w:t>
      </w:r>
      <w:r>
        <w:rPr>
          <w:rFonts w:eastAsiaTheme="minorHAnsi"/>
          <w:lang w:val="zh-CN"/>
        </w:rPr>
        <w:t xml:space="preserve"> </w:t>
      </w:r>
      <w:r w:rsidR="009A0A10" w:rsidRPr="009A0A10">
        <w:rPr>
          <w:rFonts w:eastAsiaTheme="minorHAnsi"/>
          <w:lang w:val="fi-FI"/>
        </w:rPr>
        <w:t>n</w:t>
      </w:r>
      <w:r w:rsidR="009A0A10">
        <w:rPr>
          <w:rFonts w:eastAsiaTheme="minorHAnsi"/>
          <w:lang w:val="fi-FI"/>
        </w:rPr>
        <w:t xml:space="preserve">ilai </w:t>
      </w:r>
      <w:r>
        <w:rPr>
          <w:rFonts w:eastAsiaTheme="minorHAnsi"/>
          <w:lang w:val="zh-CN"/>
        </w:rPr>
        <w:t>IC₅₀ sebesar 22,11 ppm</w:t>
      </w:r>
      <w:r w:rsidR="009A0A10" w:rsidRPr="009A0A10">
        <w:rPr>
          <w:rFonts w:eastAsiaTheme="minorHAnsi"/>
          <w:lang w:val="fi-FI"/>
        </w:rPr>
        <w:t>,</w:t>
      </w:r>
      <w:r w:rsidR="009A0A10">
        <w:rPr>
          <w:rFonts w:eastAsiaTheme="minorHAnsi"/>
          <w:lang w:val="fi-FI"/>
        </w:rPr>
        <w:t xml:space="preserve"> </w:t>
      </w:r>
      <w:r>
        <w:rPr>
          <w:rFonts w:eastAsiaTheme="minorHAnsi"/>
          <w:lang w:val="zh-CN"/>
        </w:rPr>
        <w:t>F2 sebesar 21,25 ppm</w:t>
      </w:r>
      <w:r w:rsidR="009A0A10" w:rsidRPr="009A0A10">
        <w:rPr>
          <w:rFonts w:eastAsiaTheme="minorHAnsi"/>
          <w:lang w:val="fi-FI"/>
        </w:rPr>
        <w:t>,</w:t>
      </w:r>
      <w:r>
        <w:rPr>
          <w:rFonts w:eastAsiaTheme="minorHAnsi"/>
          <w:lang w:val="zh-CN"/>
        </w:rPr>
        <w:t xml:space="preserve"> </w:t>
      </w:r>
      <w:r w:rsidR="009A0A10">
        <w:rPr>
          <w:rFonts w:eastAsiaTheme="minorHAnsi"/>
          <w:lang w:val="zh-CN"/>
        </w:rPr>
        <w:t xml:space="preserve">dan F3 (15%) </w:t>
      </w:r>
      <w:r>
        <w:rPr>
          <w:rFonts w:eastAsiaTheme="minorHAnsi"/>
          <w:lang w:val="zh-CN"/>
        </w:rPr>
        <w:t>20,72 ppm</w:t>
      </w:r>
      <w:r w:rsidR="009A0A10" w:rsidRPr="009A0A10">
        <w:rPr>
          <w:rFonts w:eastAsiaTheme="minorHAnsi"/>
          <w:lang w:val="fi-FI"/>
        </w:rPr>
        <w:t xml:space="preserve">, </w:t>
      </w:r>
      <w:r w:rsidR="009A0A10">
        <w:rPr>
          <w:rFonts w:eastAsiaTheme="minorHAnsi"/>
          <w:lang w:val="fi-FI"/>
        </w:rPr>
        <w:t>yang artinya ketiganya memiliki nilai antioksidan terkategori kuat</w:t>
      </w:r>
      <w:r>
        <w:rPr>
          <w:rFonts w:eastAsiaTheme="minorHAnsi"/>
          <w:lang w:val="zh-CN"/>
        </w:rPr>
        <w:t xml:space="preserve">. Persamaan regresi linear yang diperoleh menunjukkan hubungan yang searah antara konsentrasi dan persen inhibisi. </w:t>
      </w:r>
    </w:p>
    <w:p w14:paraId="6D04A79C" w14:textId="77777777" w:rsidR="002F2D25" w:rsidRDefault="002F2D25">
      <w:pPr>
        <w:pStyle w:val="Els-body-text"/>
        <w:spacing w:line="276" w:lineRule="auto"/>
        <w:ind w:firstLine="0"/>
        <w:rPr>
          <w:lang w:val="zh-CN"/>
        </w:rPr>
      </w:pPr>
    </w:p>
    <w:p w14:paraId="669EFA57" w14:textId="77777777" w:rsidR="002F2D25" w:rsidRDefault="00000000">
      <w:pPr>
        <w:pStyle w:val="Els-body-text"/>
        <w:numPr>
          <w:ilvl w:val="0"/>
          <w:numId w:val="7"/>
        </w:numPr>
        <w:spacing w:line="276" w:lineRule="auto"/>
        <w:ind w:left="284" w:hanging="284"/>
        <w:rPr>
          <w:b/>
        </w:rPr>
      </w:pPr>
      <w:r>
        <w:rPr>
          <w:b/>
          <w:lang w:val="en-GB"/>
        </w:rPr>
        <w:t>PEMBAHASAN</w:t>
      </w:r>
    </w:p>
    <w:p w14:paraId="7BF6C061" w14:textId="77777777" w:rsidR="002F2D25" w:rsidRDefault="00000000">
      <w:pPr>
        <w:pStyle w:val="Els-body-text"/>
        <w:tabs>
          <w:tab w:val="left" w:pos="7654"/>
        </w:tabs>
        <w:spacing w:line="276" w:lineRule="auto"/>
        <w:ind w:firstLine="0"/>
        <w:rPr>
          <w:bCs/>
          <w:lang w:val="fi-FI"/>
        </w:rPr>
      </w:pPr>
      <w:r>
        <w:rPr>
          <w:bCs/>
          <w:lang w:val="en-GB"/>
        </w:rPr>
        <w:t xml:space="preserve">Hasil penelitian menunjukkan bahwa rendemen ekstrak daun teh hijau sebesar 10,32%, yang berada dalam kisaran umum ekstraksi menggunakan pelarut etanol. </w:t>
      </w:r>
      <w:r>
        <w:rPr>
          <w:bCs/>
          <w:lang w:val="fi-FI"/>
        </w:rPr>
        <w:t xml:space="preserve">Nilai rendemen ini dipengaruhi oleh jenis pelarut, ukuran partikel, serta lama proses maserasi. Penelitian oleh Vendra Setiawan </w:t>
      </w:r>
      <w:r>
        <w:rPr>
          <w:bCs/>
          <w:i/>
          <w:iCs/>
          <w:lang w:val="fi-FI"/>
        </w:rPr>
        <w:t>et al.</w:t>
      </w:r>
      <w:r>
        <w:rPr>
          <w:bCs/>
          <w:lang w:val="fi-FI"/>
        </w:rPr>
        <w:t xml:space="preserve"> (2021) melaporkan bahwa senyawa polifenol dari </w:t>
      </w:r>
      <w:r>
        <w:rPr>
          <w:bCs/>
          <w:i/>
          <w:iCs/>
          <w:lang w:val="fi-FI"/>
        </w:rPr>
        <w:t>Camellia sinensis</w:t>
      </w:r>
      <w:r>
        <w:rPr>
          <w:bCs/>
          <w:lang w:val="fi-FI"/>
        </w:rPr>
        <w:t xml:space="preserve"> dapat diekstraksi secara optimal menggunakan pelarut etanol </w:t>
      </w:r>
      <w:r>
        <w:rPr>
          <w:bCs/>
          <w:lang w:val="fi-FI"/>
        </w:rPr>
        <w:fldChar w:fldCharType="begin" w:fldLock="1"/>
      </w:r>
      <w:r>
        <w:rPr>
          <w:bCs/>
          <w:lang w:val="fi-FI"/>
        </w:rPr>
        <w:instrText>ADDIN CSL_CITATION {"citationItems":[{"id":"ITEM-1","itemData":{"DOI":"10.21776/ub.pji.2021.007.01.2","ISSN":"2461114X","abstract":"Free radicals are formed inside and outside the body. Free radicals inside the body can be created in the cell compartments. The reactions are complex through the initiation, propagation, and termination stages. On the other hand, free radicals in the outer body can be formed from pollutions and environmental damage action. Excessive free radicals cause oxidative stress and use destructive cellular to affect health conditions. Antioxidants are known as essential agents in biological systems against diseases triggered by free radicals. One of the many antioxidants found in tea plants (Camellia sinensis) is polyphenols. A colorimetry method was employed to evaluate the dominant antioxidant compound of the total phenolic and flavonoid content in two selected tea products. The total phenolic content was determined by utilizing the Folin-Ciocalteu reagent. In addition, an aluminum colorimetric assay is applied to assess flavonoid content. Rapid screening of antioxidant activity using a spectrophotometric method is employed to determine IC50 values of tea extracts utilizing DPPH and FRAP. The FRAP method showed more sensitivity in determining antioxidant activities with the feasibility of working in low analyte concentrations than the DPPH method. The high total phenolic and flavonoid contents found in this experiment are in line with low IC50 values. It was also found out that brewed green tea has lower total phenol content than green tea bags.","author":[{"dropping-particle":"","family":"Setiawan","given":"Vendra","non-dropping-particle":"","parse-names":false,"suffix":""},{"dropping-particle":"","family":"Phangestu","given":"Sherlly","non-dropping-particle":"","parse-names":false,"suffix":""},{"dropping-particle":"","family":"Grace Soetikno","given":"Agatha","non-dropping-particle":"","parse-names":false,"suffix":""},{"dropping-particle":"","family":"Arianti","given":"Angelina","non-dropping-particle":"","parse-names":false,"suffix":""},{"dropping-particle":"","family":"Kohar","given":"Indrajati","non-dropping-particle":"","parse-names":false,"suffix":""}],"container-title":"Pharmaceutical Journal of Indonesia","id":"ITEM-1","issue":"1","issued":{"date-parts":[["2021","12","1"]]},"page":"9-14","title":"Rapid screening analysis of antioxidant activities in green tea products using DPPH and FRAP","type":"article-journal","volume":"7"},"uris":["http://www.mendeley.com/documents/?uuid=77820c65-2ebe-4cec-bf68-e19362fd52e6"]}],"mendeley":{"formattedCitation":"[16]","plainTextFormattedCitation":"[16]","previouslyFormattedCitation":"[16]"},"properties":{"noteIndex":0},"schema":"https://github.com/citation-style-language/schema/raw/master/csl-citation.json"}</w:instrText>
      </w:r>
      <w:r>
        <w:rPr>
          <w:bCs/>
          <w:lang w:val="fi-FI"/>
        </w:rPr>
        <w:fldChar w:fldCharType="separate"/>
      </w:r>
      <w:r>
        <w:rPr>
          <w:bCs/>
          <w:lang w:val="fi-FI"/>
        </w:rPr>
        <w:t>[16]</w:t>
      </w:r>
      <w:r>
        <w:rPr>
          <w:bCs/>
          <w:lang w:val="fi-FI"/>
        </w:rPr>
        <w:fldChar w:fldCharType="end"/>
      </w:r>
      <w:r>
        <w:rPr>
          <w:bCs/>
          <w:lang w:val="fi-FI"/>
        </w:rPr>
        <w:t xml:space="preserve">. </w:t>
      </w:r>
    </w:p>
    <w:p w14:paraId="443F5534" w14:textId="77777777" w:rsidR="002F2D25" w:rsidRDefault="002F2D25">
      <w:pPr>
        <w:pStyle w:val="Els-body-text"/>
        <w:tabs>
          <w:tab w:val="left" w:pos="7654"/>
        </w:tabs>
        <w:spacing w:line="276" w:lineRule="auto"/>
        <w:ind w:firstLine="0"/>
        <w:rPr>
          <w:bCs/>
          <w:lang w:val="fi-FI"/>
        </w:rPr>
      </w:pPr>
    </w:p>
    <w:p w14:paraId="4CB4916B" w14:textId="77777777" w:rsidR="002F2D25" w:rsidRDefault="00000000">
      <w:pPr>
        <w:pStyle w:val="Els-body-text"/>
        <w:tabs>
          <w:tab w:val="left" w:pos="7654"/>
        </w:tabs>
        <w:spacing w:line="276" w:lineRule="auto"/>
        <w:ind w:firstLine="0"/>
        <w:rPr>
          <w:bCs/>
          <w:lang w:val="fi-FI"/>
        </w:rPr>
      </w:pPr>
      <w:r>
        <w:rPr>
          <w:bCs/>
          <w:lang w:val="fi-FI"/>
        </w:rPr>
        <w:t xml:space="preserve">Pengujian fitokimia menunjukkan adanya flavonoid, tanin, saponin, dan alkaloid dalam ekstrak dauun teh. Senyawa flavonoid (terutama katekin) merupakan senyawa utama dalam teh hijau yang mampu menangkap radikal bebas melalui mekanisme donasi elektron. Hal ini didukung oleh Md Rashed Hasan </w:t>
      </w:r>
      <w:r>
        <w:rPr>
          <w:bCs/>
          <w:i/>
          <w:iCs/>
          <w:lang w:val="fi-FI"/>
        </w:rPr>
        <w:t>et al.</w:t>
      </w:r>
      <w:r>
        <w:rPr>
          <w:bCs/>
          <w:lang w:val="fi-FI"/>
        </w:rPr>
        <w:t xml:space="preserve"> (2023) yang menyatakan bahwa aktivitas antioksidan teh hijau berkaitan erat dengan kandungan senyawa fenolik yang mampu menetralkan radikal bebas penyebab kerusakan sel </w:t>
      </w:r>
      <w:r>
        <w:rPr>
          <w:bCs/>
          <w:lang w:val="fi-FI"/>
        </w:rPr>
        <w:fldChar w:fldCharType="begin" w:fldLock="1"/>
      </w:r>
      <w:r>
        <w:rPr>
          <w:bCs/>
          <w:lang w:val="fi-FI"/>
        </w:rPr>
        <w:instrText>ADDIN CSL_CITATION {"citationItems":[{"id":"ITEM-1","itemData":{"DOI":"10.1016/j.heliyon.2023.e23514","ISSN":"24058440","author":[{"dropping-particle":"","family":"Hasan","given":"Md. Rashed","non-dropping-particle":"","parse-names":false,"suffix":""},{"dropping-particle":"","family":"Haque","given":"Mohammad Majedul","non-dropping-particle":"","parse-names":false,"suffix":""},{"dropping-particle":"","family":"Hoque","given":"Md. Amirul","non-dropping-particle":"","parse-names":false,"suffix":""},{"dropping-particle":"","family":"Sultana","given":"Shahin","non-dropping-particle":"","parse-names":false,"suffix":""},{"dropping-particle":"","family":"Rahman","given":"Mohammad Mahbubur","non-dropping-particle":"","parse-names":false,"suffix":""},{"dropping-particle":"","family":"Ali Shaikh","given":"Md. Aftab","non-dropping-particle":"","parse-names":false,"suffix":""},{"dropping-particle":"","family":"Sarker","given":"Md. Khabir Uddin","non-dropping-particle":"","parse-names":false,"suffix":""}],"container-title":"Heliyon","id":"ITEM-1","issue":"1","issued":{"date-parts":[["2024","1"]]},"page":"e23514","title":"Antioxidant activity study and GC-MS profiling of Camellia sinensis Linn","type":"article-journal","volume":"10"},"uris":["http://www.mendeley.com/documents/?uuid=d4b79b3c-943e-44cb-b006-1f138372a6c7"]}],"mendeley":{"formattedCitation":"[17]","plainTextFormattedCitation":"[17]","previouslyFormattedCitation":"[17]"},"properties":{"noteIndex":0},"schema":"https://github.com/citation-style-language/schema/raw/master/csl-citation.json"}</w:instrText>
      </w:r>
      <w:r>
        <w:rPr>
          <w:bCs/>
          <w:lang w:val="fi-FI"/>
        </w:rPr>
        <w:fldChar w:fldCharType="separate"/>
      </w:r>
      <w:r>
        <w:rPr>
          <w:bCs/>
          <w:lang w:val="fi-FI"/>
        </w:rPr>
        <w:t>[17]</w:t>
      </w:r>
      <w:r>
        <w:rPr>
          <w:bCs/>
          <w:lang w:val="fi-FI"/>
        </w:rPr>
        <w:fldChar w:fldCharType="end"/>
      </w:r>
      <w:r>
        <w:rPr>
          <w:bCs/>
          <w:lang w:val="fi-FI"/>
        </w:rPr>
        <w:t xml:space="preserve">. </w:t>
      </w:r>
    </w:p>
    <w:p w14:paraId="463B946E" w14:textId="77777777" w:rsidR="002F2D25" w:rsidRDefault="002F2D25">
      <w:pPr>
        <w:pStyle w:val="Els-body-text"/>
        <w:tabs>
          <w:tab w:val="left" w:pos="7654"/>
        </w:tabs>
        <w:spacing w:line="276" w:lineRule="auto"/>
        <w:ind w:firstLine="0"/>
        <w:rPr>
          <w:bCs/>
          <w:lang w:val="fi-FI"/>
        </w:rPr>
      </w:pPr>
    </w:p>
    <w:p w14:paraId="76BA22A3" w14:textId="77777777" w:rsidR="002F2D25" w:rsidRDefault="00000000">
      <w:pPr>
        <w:pStyle w:val="Els-body-text"/>
        <w:tabs>
          <w:tab w:val="left" w:pos="7654"/>
        </w:tabs>
        <w:spacing w:line="276" w:lineRule="auto"/>
        <w:ind w:firstLine="0"/>
        <w:rPr>
          <w:bCs/>
          <w:lang w:val="fi-FI"/>
        </w:rPr>
      </w:pPr>
      <w:r>
        <w:rPr>
          <w:bCs/>
          <w:lang w:val="fi-FI"/>
        </w:rPr>
        <w:t xml:space="preserve">Dari segi formulasi, seluruh sediaan gel menunjukkan stabilitas fisik yang baik, ditandai dengan bentuk semi padat, homogen, serta pH yang stabil pada kisaran 6,0–6,3. Nilai ini sesuai dengan pH fisiologis kulit (4,5–6,5), sehingga aman untuk penggunaan topikal </w:t>
      </w:r>
      <w:r>
        <w:rPr>
          <w:bCs/>
          <w:lang w:val="fi-FI"/>
        </w:rPr>
        <w:fldChar w:fldCharType="begin" w:fldLock="1"/>
      </w:r>
      <w:r>
        <w:rPr>
          <w:bCs/>
          <w:lang w:val="fi-FI"/>
        </w:rPr>
        <w:instrText>ADDIN CSL_CITATION {"citationItems":[{"id":"ITEM-1","itemData":{"DOI":"10.3390/antiox9080713","ISSN":"2076-3921","abstract":"Numerous chronic diseases including cancer, cardiovascular, chronic respiratory or neurodegenerative diseases, diabetes mellitus, retinal damage, and others are associated with oxidative stress [...]","author":[{"dropping-particle":"","family":"Valentová","given":"Kateřina","non-dropping-particle":"","parse-names":false,"suffix":""}],"container-title":"Antioxidants","id":"ITEM-1","issue":"8","issued":{"date-parts":[["2020","8","6"]]},"page":"713","title":"Cytoprotective Activity of Natural and Synthetic Antioxidants","type":"article-journal","volume":"9"},"uris":["http://www.mendeley.com/documents/?uuid=ddc21cf5-0b77-4745-b079-57dcd05e896e"]}],"mendeley":{"formattedCitation":"[18]","plainTextFormattedCitation":"[18]","previouslyFormattedCitation":"[18]"},"properties":{"noteIndex":0},"schema":"https://github.com/citation-style-language/schema/raw/master/csl-citation.json"}</w:instrText>
      </w:r>
      <w:r>
        <w:rPr>
          <w:bCs/>
          <w:lang w:val="fi-FI"/>
        </w:rPr>
        <w:fldChar w:fldCharType="separate"/>
      </w:r>
      <w:r>
        <w:rPr>
          <w:bCs/>
          <w:lang w:val="fi-FI"/>
        </w:rPr>
        <w:t>[18]</w:t>
      </w:r>
      <w:r>
        <w:rPr>
          <w:bCs/>
          <w:lang w:val="fi-FI"/>
        </w:rPr>
        <w:fldChar w:fldCharType="end"/>
      </w:r>
      <w:r>
        <w:rPr>
          <w:bCs/>
          <w:lang w:val="fi-FI"/>
        </w:rPr>
        <w:t xml:space="preserve">. Formulasi gel berbasis ekstrak teh hijau memiliki stabilitas fisik yang baik selama penyimpanan serta aman digunakan pada kulit. Hasil uji homogenitas menunjukkan bahwa seluruh formula memiliki distribusi partikel yang merata tanpa adanya agregasi, yang menandakan proses pencampuran berlangsung optimal. Selain itu, uji iritasi menunjukkan tidak adanya reaksi seperti kemerahan, gatal, atau pembengkakan pada 12 relawan, sehingga sediaan dapat dikategorikan aman. Penggunaan bahan alami dengan kandungan polifenol cenderung memiliki risiko iritasi yang lebih rendah dibandingkan bahan sintetis </w:t>
      </w:r>
      <w:r>
        <w:rPr>
          <w:bCs/>
          <w:lang w:val="fi-FI"/>
        </w:rPr>
        <w:fldChar w:fldCharType="begin" w:fldLock="1"/>
      </w:r>
      <w:r>
        <w:rPr>
          <w:bCs/>
          <w:lang w:val="fi-FI"/>
        </w:rPr>
        <w:instrText>ADDIN CSL_CITATION {"citationItems":[{"id":"ITEM-1","itemData":{"DOI":"10.33024/jikk.v8i3.4834","ISSN":"2549-4864","abstract":"Jerawat atau acne vulgaris adalah kelainan pada kulit yang biasa terjadi pada usia remaja maupun dewasa. Jerawat disebabkan oleh bakteri Propionibacterium acnes. Biji pepaya memiliki khasiat sebagai anti jerawat. Zat aktif pada biji pepaya dapat diperoleh dengan ekstraksi menggunakan metode maserasi dengan pelarut etanol 96%. Pada uji fitokimia menunjukkan bahwa didalam ekstrak biji pepaya positif mengandung senyawa alkaloid, flavonoid, saponin dan tanin. Ekstrak biji pepaya yang diperoleh dibuat dalam sediaan krim dengan konsentrasi 5%, 7,5% dan 10%. Evaluasi krim meliputi uji organoleptis, uji daya sebar, uji pH, uji homogenitas, uji iritasi kulit, dan uji kesukaan. Hasil uji evaluasi sesuai kriteria sediaan krim yang baik dan uji kesukaan paling banyak diperoleh sediaan yang paling baik yaitu 5%. Uji daya hambat krim ekstrak biji pepaya menggunakan metode difusi sumuran. Aktivitas zona hambat krim ekstrak etanol yang terbentuk pada konsentrasi 5% yaitu sebesar 8,15 mm dengan efektivitas sebesar 53,9%. Hasil uji antibakteri dianalisis menggunakan ANOVA. Hasil analisis statistik menunjukkan adanya perbedaan zona hambat yang signifikan yaitu (P&lt;0,005) antara kontrol pembanding. Krim ekstrak biji pepaya efektif dalam menghambat bakteri Propionibacterium acnes.","author":[{"dropping-particle":"","family":"Fikriana","given":"Novisa Arizatul","non-dropping-particle":"","parse-names":false,"suffix":""},{"dropping-particle":"","family":"Chusniasih","given":"Dewi","non-dropping-particle":"","parse-names":false,"suffix":""},{"dropping-particle":"","family":"Ulfa","given":"Ade Maria","non-dropping-particle":"","parse-names":false,"suffix":""}],"container-title":"Jurnal Ilmu Kedokteran dan Kesehatan","id":"ITEM-1","issue":"3","issued":{"date-parts":[["2021","10","1"]]},"title":"UJI EFEKTIVITAS EKSTRAK ETANOL BIJI PEPAYA (Carica papaya L.) SEDIAAN KRIM TERHADAP BAKTERI Propionibacterium acnes","type":"article-journal","volume":"8"},"uris":["http://www.mendeley.com/documents/?uuid=92c300b2-7891-4f06-b4fc-3c10e28ad865"]}],"mendeley":{"formattedCitation":"[19]","plainTextFormattedCitation":"[19]","previouslyFormattedCitation":"[19]"},"properties":{"noteIndex":0},"schema":"https://github.com/citation-style-language/schema/raw/master/csl-citation.json"}</w:instrText>
      </w:r>
      <w:r>
        <w:rPr>
          <w:bCs/>
          <w:lang w:val="fi-FI"/>
        </w:rPr>
        <w:fldChar w:fldCharType="separate"/>
      </w:r>
      <w:r>
        <w:rPr>
          <w:bCs/>
          <w:lang w:val="fi-FI"/>
        </w:rPr>
        <w:t>[19]</w:t>
      </w:r>
      <w:r>
        <w:rPr>
          <w:bCs/>
          <w:lang w:val="fi-FI"/>
        </w:rPr>
        <w:fldChar w:fldCharType="end"/>
      </w:r>
      <w:r>
        <w:rPr>
          <w:bCs/>
          <w:lang w:val="fi-FI"/>
        </w:rPr>
        <w:t>.</w:t>
      </w:r>
    </w:p>
    <w:p w14:paraId="5DCFCFE2" w14:textId="77777777" w:rsidR="002F2D25" w:rsidRDefault="002F2D25">
      <w:pPr>
        <w:pStyle w:val="Els-body-text"/>
        <w:tabs>
          <w:tab w:val="left" w:pos="7654"/>
        </w:tabs>
        <w:spacing w:line="276" w:lineRule="auto"/>
        <w:ind w:firstLine="0"/>
        <w:rPr>
          <w:bCs/>
          <w:lang w:val="fi-FI"/>
        </w:rPr>
      </w:pPr>
    </w:p>
    <w:p w14:paraId="0866F6EF" w14:textId="77777777" w:rsidR="002F2D25" w:rsidRDefault="00000000">
      <w:pPr>
        <w:pStyle w:val="Els-body-text"/>
        <w:tabs>
          <w:tab w:val="left" w:pos="7654"/>
        </w:tabs>
        <w:spacing w:line="276" w:lineRule="auto"/>
        <w:ind w:firstLine="0"/>
        <w:rPr>
          <w:bCs/>
          <w:lang w:val="fi-FI"/>
        </w:rPr>
      </w:pPr>
      <w:r>
        <w:rPr>
          <w:bCs/>
          <w:lang w:val="fi-FI"/>
        </w:rPr>
        <w:t xml:space="preserve">Pada uji aktivitas antioksidan, seluruh sediaan menunjukkan peningkatan persen inhibisi seiring meningkatnya konsentrasi, dengan nilai IC₅₀ berturut-turut F0 = 28,86 ppm; F1 = 22,11 ppm; F2 = 21,25 ppm; dan F3 = 20,72 ppm. Nilai ini menunjukkan bahwa seluruh formula merupakan jenis antioksidan kuat (IC₅₀ &lt; 50 ppm). Hasil ini sejalan dengan Galuh Sekar Rahma Illah </w:t>
      </w:r>
      <w:r>
        <w:rPr>
          <w:bCs/>
          <w:i/>
          <w:iCs/>
          <w:lang w:val="fi-FI"/>
        </w:rPr>
        <w:t xml:space="preserve">et al. </w:t>
      </w:r>
      <w:r>
        <w:rPr>
          <w:bCs/>
          <w:lang w:val="fi-FI"/>
        </w:rPr>
        <w:t xml:space="preserve">(2024) yang menyatakan bahwa ekstrak daun teh hijau memiliki </w:t>
      </w:r>
      <w:r>
        <w:rPr>
          <w:bCs/>
          <w:lang w:val="fi-FI"/>
        </w:rPr>
        <w:lastRenderedPageBreak/>
        <w:t xml:space="preserve">aktivitas antioksidan yang tinggi dengan metode DPPH dan mampu menurunkan radikal bebas secara signifikan </w:t>
      </w:r>
      <w:r>
        <w:rPr>
          <w:bCs/>
          <w:lang w:val="fi-FI"/>
        </w:rPr>
        <w:fldChar w:fldCharType="begin" w:fldLock="1"/>
      </w:r>
      <w:r>
        <w:rPr>
          <w:bCs/>
          <w:lang w:val="fi-FI"/>
        </w:rPr>
        <w:instrText>ADDIN CSL_CITATION {"citationItems":[{"id":"ITEM-1","itemData":{"DOI":"10.52216/jfsi.vol7no2p178-185","ISSN":"2686-3529","abstract":"Tanaman naga merah (Hylocereus polyrhizus) dan teh hijau (Camellia Sinensis L.) merupakan tanaman yang memiliki manfaat sebagai antioksidan. Senyawa antioksidan mampu meredam radikal bebas sehingga menjadi substansi yang tidak berbahaya. Tujuan dari penelitian ini untuk mengetahui potensi aktivitas antioksidan kombinasi daun teh hijau dan kulit buah naga merah dengan dibuat tiga perbandingan yaitu 1:1, 1:2, 2:1. Ekstraksi dilakukan dengan cara maserasi menggunakan pelarut etanol 96% sehingga diperoleh ekstrak kental. Ekstrak dilakukan skrining fitokimia, kemudian ekstrak kental dibuat 3 variasi kombinasi yaitu 1:1, 1:2, dan 2:1. Pada pengujian aktivitas antioksidan menggunakan metode DPPH secara spektrofotometri. Hasil data persentase aktivitas antioksidan dianalisis secara statistik menggunakan SPSS dengan metode one way ANOVA. Hasil penelitian menunjukkan kombinasi daun teh hijau dan kulit naga merah memiliki aktivitas antioksidan yang kuat. Nilai IC50 pada perbandingan 1:1 adalah 13,25 ppm, pada perbandingan 1:2 adalah 12,15 ppm, dan pada perbandingan 2:1 adalah 11,40 ppm. Perbandingan 2:1 merupakan kombinasi terkuat.","author":[{"dropping-particle":"","family":"Illah","given":"Galuh Sekar Rahma","non-dropping-particle":"","parse-names":false,"suffix":""},{"dropping-particle":"","family":"Rejeki","given":"Endang Sri","non-dropping-particle":"","parse-names":false,"suffix":""},{"dropping-particle":"","family":"Pramukantoro","given":"Ganet Eko","non-dropping-particle":"","parse-names":false,"suffix":""}],"container-title":"Jurnal Farmasi &amp; Sains Indonesia","id":"ITEM-1","issue":"2","issued":{"date-parts":[["2024","12","28"]]},"page":"178-185","title":"UJI AKTIVITAS ANTIOKSIDAN KOMBINASI EKSTRAK ETANOL DAUN TEH HIJAU (Camellia Sinensis L.) DENGAN EKSTRAK ETANOL KULIT BUAH NAGA MERAH (Hylocereus polyrhizus) MENGGUNAKAN METODE DPPH","type":"article-journal","volume":"7"},"uris":["http://www.mendeley.com/documents/?uuid=ea86a48f-188f-4df7-ba02-a8a2fcb36b78"]}],"mendeley":{"formattedCitation":"[20]","plainTextFormattedCitation":"[20]","previouslyFormattedCitation":"[20]"},"properties":{"noteIndex":0},"schema":"https://github.com/citation-style-language/schema/raw/master/csl-citation.json"}</w:instrText>
      </w:r>
      <w:r>
        <w:rPr>
          <w:bCs/>
          <w:lang w:val="fi-FI"/>
        </w:rPr>
        <w:fldChar w:fldCharType="separate"/>
      </w:r>
      <w:r>
        <w:rPr>
          <w:bCs/>
          <w:lang w:val="fi-FI"/>
        </w:rPr>
        <w:t>[20]</w:t>
      </w:r>
      <w:r>
        <w:rPr>
          <w:bCs/>
          <w:lang w:val="fi-FI"/>
        </w:rPr>
        <w:fldChar w:fldCharType="end"/>
      </w:r>
      <w:r>
        <w:rPr>
          <w:bCs/>
          <w:lang w:val="fi-FI"/>
        </w:rPr>
        <w:t>.</w:t>
      </w:r>
    </w:p>
    <w:p w14:paraId="711BDC87" w14:textId="77777777" w:rsidR="002F2D25" w:rsidRDefault="002F2D25">
      <w:pPr>
        <w:pStyle w:val="Els-body-text"/>
        <w:tabs>
          <w:tab w:val="left" w:pos="7654"/>
        </w:tabs>
        <w:spacing w:line="276" w:lineRule="auto"/>
        <w:ind w:firstLine="0"/>
        <w:rPr>
          <w:bCs/>
          <w:lang w:val="fi-FI"/>
        </w:rPr>
      </w:pPr>
    </w:p>
    <w:p w14:paraId="54E81F9A" w14:textId="77777777" w:rsidR="002F2D25" w:rsidRDefault="00000000">
      <w:pPr>
        <w:pStyle w:val="Els-body-text"/>
        <w:tabs>
          <w:tab w:val="left" w:pos="7654"/>
        </w:tabs>
        <w:spacing w:line="276" w:lineRule="auto"/>
        <w:ind w:firstLine="0"/>
        <w:rPr>
          <w:bCs/>
          <w:lang w:val="fi-FI"/>
        </w:rPr>
      </w:pPr>
      <w:r>
        <w:rPr>
          <w:bCs/>
          <w:lang w:val="fi-FI"/>
        </w:rPr>
        <w:t xml:space="preserve">Jika dibandingkan dengan penelitian sebelumnya, nilai IC₅₀ pada sediaan gel cenderung lebih tinggi dibandingkan ekstrak murni. Penelitian oleh Anis Yohana Chaerunisaa </w:t>
      </w:r>
      <w:r>
        <w:rPr>
          <w:bCs/>
          <w:i/>
          <w:iCs/>
          <w:lang w:val="fi-FI"/>
        </w:rPr>
        <w:t>et al.</w:t>
      </w:r>
      <w:r>
        <w:rPr>
          <w:bCs/>
          <w:lang w:val="fi-FI"/>
        </w:rPr>
        <w:t xml:space="preserve"> (2021) melaporkan nilai IC₅₀ ekstrak sebesar 5,511 ppm, yang lebih kecil dibandingkan sediaan gel. Hal ini secara teoritis disebabkan oleh adanya basis gel yang dapat mempengaruhi difusi senyawa aktif dan menurunkan efektivitas interaksi dengan radikal DPPH . Secara keseluruhan, hasil penelitian ini menunjukkan bahwa peningkatan konsentrasi ekstrak daun teh hijau dalam formulasi gel berbanding lurus dengan peningkatan aktivitas antioksidan. Hal ini memperkuat bahwa </w:t>
      </w:r>
      <w:r>
        <w:rPr>
          <w:bCs/>
          <w:i/>
          <w:iCs/>
          <w:lang w:val="fi-FI"/>
        </w:rPr>
        <w:t>Camellia sinensis</w:t>
      </w:r>
      <w:r>
        <w:rPr>
          <w:bCs/>
          <w:lang w:val="fi-FI"/>
        </w:rPr>
        <w:t xml:space="preserve"> memiliki potensi besar sebagai bahan aktif dalam sediaan topikal, khususnya gel tabir surya yang stabil, aman, dan efektif dalam menangkal radikal bebas.</w:t>
      </w:r>
    </w:p>
    <w:p w14:paraId="68113AD3" w14:textId="77777777" w:rsidR="002F2D25" w:rsidRDefault="00000000">
      <w:pPr>
        <w:pStyle w:val="Els-body-text"/>
        <w:tabs>
          <w:tab w:val="left" w:pos="7654"/>
        </w:tabs>
        <w:spacing w:line="276" w:lineRule="auto"/>
        <w:ind w:firstLine="0"/>
        <w:rPr>
          <w:bCs/>
          <w:lang w:val="fi-FI"/>
        </w:rPr>
      </w:pPr>
      <w:r>
        <w:rPr>
          <w:bCs/>
          <w:lang w:val="fi-FI"/>
        </w:rPr>
        <w:tab/>
      </w:r>
    </w:p>
    <w:p w14:paraId="780A8F5C" w14:textId="77777777" w:rsidR="002F2D25" w:rsidRDefault="00000000">
      <w:pPr>
        <w:pStyle w:val="Els-body-text"/>
        <w:numPr>
          <w:ilvl w:val="0"/>
          <w:numId w:val="7"/>
        </w:numPr>
        <w:spacing w:line="276" w:lineRule="auto"/>
        <w:ind w:left="284" w:hanging="284"/>
        <w:rPr>
          <w:b/>
        </w:rPr>
      </w:pPr>
      <w:r>
        <w:rPr>
          <w:b/>
        </w:rPr>
        <w:t>KESIMPULAN</w:t>
      </w:r>
    </w:p>
    <w:p w14:paraId="482AAD0A" w14:textId="77777777" w:rsidR="002F2D25" w:rsidRDefault="00000000">
      <w:pPr>
        <w:pStyle w:val="Els-body-text"/>
        <w:spacing w:line="276" w:lineRule="auto"/>
        <w:ind w:firstLine="0"/>
        <w:rPr>
          <w:lang w:val="ms"/>
        </w:rPr>
      </w:pPr>
      <w:r>
        <w:rPr>
          <w:lang w:val="ms"/>
        </w:rPr>
        <w:t>Sediaan gel memiliki karakteristik fisik yang baik, stabil secara organoleptik, homogen, memiliki pH 6,0–6,3 (sesuai pH kulit), serta tidak menimbulkan iritasi pada 12 relawan. Pengujian sediaan melalui uji antioksidan menunjukkan adanaya peningkatan aktivitas seiring bertambahnya konsentrasi ekstrak, dengan nilai IC₅₀ berturut-turut F0 = 28,86 ppm; F1 = 22,11 ppm; F2 = 21,25 ppm; dan F3 = 20,72 ppm. Seluruh sediaan terkategori</w:t>
      </w:r>
      <w:r w:rsidR="00886A65">
        <w:rPr>
          <w:lang w:val="ms"/>
        </w:rPr>
        <w:t xml:space="preserve"> sebagai</w:t>
      </w:r>
      <w:r>
        <w:rPr>
          <w:lang w:val="ms"/>
        </w:rPr>
        <w:t xml:space="preserve"> antioksidan kuat, sehingga ekstrak daun teh hijau berpotensi sebagai bahan aktif dalam formulasi gel tabir surya yang aman, stabil, dan efektif. </w:t>
      </w:r>
    </w:p>
    <w:p w14:paraId="283D32C6" w14:textId="77777777" w:rsidR="002F2D25" w:rsidRDefault="002F2D25">
      <w:pPr>
        <w:pStyle w:val="Els-body-text"/>
        <w:spacing w:line="276" w:lineRule="auto"/>
        <w:ind w:firstLine="0"/>
        <w:rPr>
          <w:lang w:val="ms"/>
        </w:rPr>
      </w:pPr>
    </w:p>
    <w:p w14:paraId="4ED19D1C" w14:textId="77777777" w:rsidR="002F2D25" w:rsidRDefault="00000000">
      <w:pPr>
        <w:pStyle w:val="Els-body-text"/>
        <w:spacing w:line="276" w:lineRule="auto"/>
        <w:ind w:firstLine="0"/>
        <w:rPr>
          <w:b/>
          <w:lang w:val="ms"/>
        </w:rPr>
      </w:pPr>
      <w:r>
        <w:rPr>
          <w:b/>
          <w:lang w:val="ms"/>
        </w:rPr>
        <w:t>UCAPAN TERIMA KASIH</w:t>
      </w:r>
    </w:p>
    <w:p w14:paraId="5A852A70" w14:textId="77777777" w:rsidR="002F2D25" w:rsidRDefault="00000000">
      <w:pPr>
        <w:pStyle w:val="Els-body-text"/>
        <w:spacing w:line="276" w:lineRule="auto"/>
        <w:ind w:firstLine="0"/>
        <w:rPr>
          <w:lang w:val="ms"/>
        </w:rPr>
      </w:pPr>
      <w:r>
        <w:rPr>
          <w:lang w:val="ms"/>
        </w:rPr>
        <w:t xml:space="preserve">Peneliti menyampaikan terimakasih kepada Institut Kesehatan Medistra Lubuk Pakam yang telah memberikan izin dalam pelaksanaan penelitian ini di laboratorium fakultas farmasi sehingga dapat terselesaikan dengan baik. Selain itu, berterima kasih juga kepada responden, terlebih kepada seluruh pihak yang terlibat dalam penelitian ini. </w:t>
      </w:r>
    </w:p>
    <w:p w14:paraId="41BA00C6" w14:textId="77777777" w:rsidR="002F2D25" w:rsidRDefault="002F2D25">
      <w:pPr>
        <w:pStyle w:val="Els-body-text"/>
        <w:spacing w:line="276" w:lineRule="auto"/>
        <w:ind w:firstLine="0"/>
        <w:rPr>
          <w:b/>
          <w:lang w:val="ms"/>
        </w:rPr>
      </w:pPr>
    </w:p>
    <w:p w14:paraId="17BC8FF6" w14:textId="77777777" w:rsidR="002F2D25" w:rsidRDefault="00000000">
      <w:pPr>
        <w:pStyle w:val="Els-body-text"/>
        <w:spacing w:line="276" w:lineRule="auto"/>
        <w:ind w:firstLine="0"/>
        <w:rPr>
          <w:b/>
          <w:lang w:val="ms"/>
        </w:rPr>
      </w:pPr>
      <w:r>
        <w:rPr>
          <w:b/>
          <w:lang w:val="ms"/>
        </w:rPr>
        <w:t>REFERENSI</w:t>
      </w:r>
    </w:p>
    <w:p w14:paraId="37EB96A7" w14:textId="77777777" w:rsidR="002F2D25" w:rsidRDefault="00000000">
      <w:pPr>
        <w:autoSpaceDE w:val="0"/>
        <w:autoSpaceDN w:val="0"/>
        <w:adjustRightInd w:val="0"/>
        <w:ind w:left="426" w:hanging="426"/>
        <w:jc w:val="both"/>
      </w:pPr>
      <w:r>
        <w:rPr>
          <w:b/>
          <w:lang w:val="ms"/>
        </w:rPr>
        <w:fldChar w:fldCharType="begin" w:fldLock="1"/>
      </w:r>
      <w:r>
        <w:rPr>
          <w:b/>
          <w:lang w:val="ms"/>
        </w:rPr>
        <w:instrText xml:space="preserve">ADDIN Mendeley Bibliography CSL_BIBLIOGRAPHY </w:instrText>
      </w:r>
      <w:r>
        <w:rPr>
          <w:b/>
          <w:lang w:val="ms"/>
        </w:rPr>
        <w:fldChar w:fldCharType="separate"/>
      </w:r>
      <w:r>
        <w:t>[1]</w:t>
      </w:r>
      <w:r>
        <w:tab/>
        <w:t xml:space="preserve">Hailun He, A. Li, S. Li, J. Tang, L. Li, And L. Xiong, “Natural Components In Sunscreens: Topical Formulations With Sun Protection Factor (SPF),” </w:t>
      </w:r>
      <w:r>
        <w:rPr>
          <w:i/>
          <w:iCs/>
        </w:rPr>
        <w:t>Biomed. Pharmacother.</w:t>
      </w:r>
      <w:r>
        <w:t>, Vol. 134, P. 111161, Feb. 2021, Doi: 10.1016/J.Biopha.2020.111161.</w:t>
      </w:r>
    </w:p>
    <w:p w14:paraId="63FF46AE" w14:textId="77777777" w:rsidR="002F2D25" w:rsidRDefault="00000000">
      <w:pPr>
        <w:autoSpaceDE w:val="0"/>
        <w:autoSpaceDN w:val="0"/>
        <w:adjustRightInd w:val="0"/>
        <w:ind w:left="426" w:hanging="426"/>
        <w:jc w:val="both"/>
      </w:pPr>
      <w:r>
        <w:t>[2]</w:t>
      </w:r>
      <w:r>
        <w:tab/>
        <w:t xml:space="preserve">S. Y. Ng, V. R. Eh Suk, And L. T. Gew, “Plant Polyphenols As Green Sunscreen Ingredients: A Systematic Review,” </w:t>
      </w:r>
      <w:r>
        <w:rPr>
          <w:i/>
          <w:iCs/>
        </w:rPr>
        <w:t>J. Cosmet. Dermatol.</w:t>
      </w:r>
      <w:r>
        <w:t>, Vol. 21, No. 11, Pp. 5409–5444, Nov. 2022, Doi: 10.1111/Jocd.15170.</w:t>
      </w:r>
    </w:p>
    <w:p w14:paraId="53475C06" w14:textId="77777777" w:rsidR="002F2D25" w:rsidRDefault="00000000">
      <w:pPr>
        <w:autoSpaceDE w:val="0"/>
        <w:autoSpaceDN w:val="0"/>
        <w:adjustRightInd w:val="0"/>
        <w:ind w:left="426" w:hanging="426"/>
        <w:jc w:val="both"/>
      </w:pPr>
      <w:r>
        <w:t>[3]</w:t>
      </w:r>
      <w:r>
        <w:tab/>
        <w:t xml:space="preserve">L. Li, L. Chong, T. Huang, Y. Ma, Y. Li, And H. Ding, “Natural Products And Extracts From Plants As Natural UV Filters For Sunscreens: A Review,” </w:t>
      </w:r>
      <w:r>
        <w:rPr>
          <w:i/>
          <w:iCs/>
        </w:rPr>
        <w:t>Anim. Model. Exp. Med.</w:t>
      </w:r>
      <w:r>
        <w:t>, Vol. 6, No. 3, Pp. 183–195, Jun. 2023, Doi: 10.1002/Ame2.12295.</w:t>
      </w:r>
    </w:p>
    <w:p w14:paraId="73A231B6" w14:textId="77777777" w:rsidR="002F2D25" w:rsidRDefault="00000000">
      <w:pPr>
        <w:autoSpaceDE w:val="0"/>
        <w:autoSpaceDN w:val="0"/>
        <w:adjustRightInd w:val="0"/>
        <w:ind w:left="426" w:hanging="426"/>
        <w:jc w:val="both"/>
      </w:pPr>
      <w:r>
        <w:t>[4]</w:t>
      </w:r>
      <w:r>
        <w:tab/>
        <w:t xml:space="preserve">S. Bhattacharya And A. P. Sherje, “Development Of Resveratrol And Green Tea Sunscreen Formulation For Combined Photoprotective And Antioxidant Properties,” </w:t>
      </w:r>
      <w:r>
        <w:rPr>
          <w:i/>
          <w:iCs/>
        </w:rPr>
        <w:t>J. Drug Deliv. Sci. Technol.</w:t>
      </w:r>
      <w:r>
        <w:t>, Vol. 60, P. 102000, Dec. 2020, Doi: 10.1016/J.Jddst.2020.102000.</w:t>
      </w:r>
    </w:p>
    <w:p w14:paraId="305A03A9" w14:textId="77777777" w:rsidR="002F2D25" w:rsidRDefault="00000000">
      <w:pPr>
        <w:autoSpaceDE w:val="0"/>
        <w:autoSpaceDN w:val="0"/>
        <w:adjustRightInd w:val="0"/>
        <w:ind w:left="426" w:hanging="426"/>
        <w:jc w:val="both"/>
      </w:pPr>
      <w:r>
        <w:t>[5]</w:t>
      </w:r>
      <w:r>
        <w:tab/>
        <w:t xml:space="preserve">S. A. Kleist And K. A. Knoop, “Understanding The Elements Of Maternal Protection From Systemic Bacterial Infections During Early Life,” </w:t>
      </w:r>
      <w:r>
        <w:rPr>
          <w:i/>
          <w:iCs/>
        </w:rPr>
        <w:t>Nutrients</w:t>
      </w:r>
      <w:r>
        <w:t>, Vol. 12, No. 4, P. 1045, Apr. 2020, Doi: 10.3390/Nu12041045.</w:t>
      </w:r>
    </w:p>
    <w:p w14:paraId="084B3DA5" w14:textId="77777777" w:rsidR="002F2D25" w:rsidRDefault="00000000">
      <w:pPr>
        <w:autoSpaceDE w:val="0"/>
        <w:autoSpaceDN w:val="0"/>
        <w:adjustRightInd w:val="0"/>
        <w:ind w:left="426" w:hanging="426"/>
        <w:jc w:val="both"/>
      </w:pPr>
      <w:r>
        <w:t>[6]</w:t>
      </w:r>
      <w:r>
        <w:tab/>
        <w:t xml:space="preserve">C. Musial, A. Kuban-Jankowska, And M. Gorska-Ponikowska, “Beneficial Properties Of Green Tea Catechins,” </w:t>
      </w:r>
      <w:r>
        <w:rPr>
          <w:i/>
          <w:iCs/>
        </w:rPr>
        <w:t>Int. J. Mol. Sci.</w:t>
      </w:r>
      <w:r>
        <w:t>, Vol. 21, No. 5, P. 1744, Mar. 2020, Doi: 10.3390/Ijms21051744.</w:t>
      </w:r>
    </w:p>
    <w:p w14:paraId="49888ED9" w14:textId="77777777" w:rsidR="002F2D25" w:rsidRDefault="00000000">
      <w:pPr>
        <w:autoSpaceDE w:val="0"/>
        <w:autoSpaceDN w:val="0"/>
        <w:adjustRightInd w:val="0"/>
        <w:ind w:left="426" w:hanging="426"/>
        <w:jc w:val="both"/>
      </w:pPr>
      <w:r>
        <w:t>[7]</w:t>
      </w:r>
      <w:r>
        <w:tab/>
        <w:t xml:space="preserve">J. Kochman, K. Jakubczyk, J. Antoniewicz, H. Mruk, And K. Janda, “Health Benefits And Chemical Composition Of Matcha Green Tea: A Review,” </w:t>
      </w:r>
      <w:r>
        <w:rPr>
          <w:i/>
          <w:iCs/>
        </w:rPr>
        <w:t>Molecules</w:t>
      </w:r>
      <w:r>
        <w:t>, Vol. 26, No. 1, P. 85, Dec. 2020, Doi: 10.3390/Molecules26010085.</w:t>
      </w:r>
    </w:p>
    <w:p w14:paraId="16DD059C" w14:textId="77777777" w:rsidR="002F2D25" w:rsidRDefault="00000000">
      <w:pPr>
        <w:autoSpaceDE w:val="0"/>
        <w:autoSpaceDN w:val="0"/>
        <w:adjustRightInd w:val="0"/>
        <w:ind w:left="426" w:hanging="426"/>
        <w:jc w:val="both"/>
      </w:pPr>
      <w:r>
        <w:t>[8]</w:t>
      </w:r>
      <w:r>
        <w:tab/>
        <w:t xml:space="preserve">M. Putri, A. Hariati, And A. A. Basir, “Sunscreen Cream Formulation From Green Tea Extract (Camellia Sinensis) And SPF Value Test,” </w:t>
      </w:r>
      <w:r>
        <w:rPr>
          <w:i/>
          <w:iCs/>
        </w:rPr>
        <w:t>Int. J. Health Sci. (Qassim).</w:t>
      </w:r>
      <w:r>
        <w:t>, Vol. 3, No. 3, Pp. 522–530, Jul. 2025, Doi: 10.59585/Ijhs.V3i3.794.</w:t>
      </w:r>
    </w:p>
    <w:p w14:paraId="382CDEEE" w14:textId="77777777" w:rsidR="002F2D25" w:rsidRDefault="00000000">
      <w:pPr>
        <w:autoSpaceDE w:val="0"/>
        <w:autoSpaceDN w:val="0"/>
        <w:adjustRightInd w:val="0"/>
        <w:ind w:left="426" w:hanging="426"/>
        <w:jc w:val="both"/>
      </w:pPr>
      <w:r>
        <w:t>[9]</w:t>
      </w:r>
      <w:r>
        <w:tab/>
        <w:t xml:space="preserve">Firmansyah And A. Sandistira, “Jurnal Kesehatan Yamasi Makassar,” </w:t>
      </w:r>
      <w:r>
        <w:rPr>
          <w:i/>
          <w:iCs/>
        </w:rPr>
        <w:t>J. Kesehat. Yamasi Makasar</w:t>
      </w:r>
      <w:r>
        <w:t>, Vol. 4, No. 1, Pp. 98–110, 2020.</w:t>
      </w:r>
    </w:p>
    <w:p w14:paraId="2C711F36" w14:textId="77777777" w:rsidR="002F2D25" w:rsidRDefault="00000000">
      <w:pPr>
        <w:autoSpaceDE w:val="0"/>
        <w:autoSpaceDN w:val="0"/>
        <w:adjustRightInd w:val="0"/>
        <w:ind w:left="426" w:hanging="426"/>
        <w:jc w:val="both"/>
      </w:pPr>
      <w:r>
        <w:t>[10]</w:t>
      </w:r>
      <w:r>
        <w:tab/>
        <w:t xml:space="preserve">P. J. Leslie And S. Gunawan, “Uji Fitokimia Dan Perbandingan Efek Antioksidan Pada Daun Teh Hijau , Teh Hitam , Dan Teh Putih ( Camellia Sinensis ) Dengan Metode DPPH ( 2 , 2-Difenil-1- Pikrilhidrazil ),” </w:t>
      </w:r>
      <w:r>
        <w:rPr>
          <w:i/>
          <w:iCs/>
        </w:rPr>
        <w:t>Tarumanagara Med. J.</w:t>
      </w:r>
      <w:r>
        <w:t>, Vol. 1, No. 2, Pp. 383–388, 2019.</w:t>
      </w:r>
    </w:p>
    <w:p w14:paraId="0AC730CA" w14:textId="77777777" w:rsidR="002F2D25" w:rsidRDefault="00000000">
      <w:pPr>
        <w:autoSpaceDE w:val="0"/>
        <w:autoSpaceDN w:val="0"/>
        <w:adjustRightInd w:val="0"/>
        <w:ind w:left="426" w:hanging="426"/>
        <w:jc w:val="both"/>
      </w:pPr>
      <w:r>
        <w:t>[11]</w:t>
      </w:r>
      <w:r>
        <w:tab/>
        <w:t xml:space="preserve">Z. Luo And X. Zhang, “Brassica Oleracea Extract, Glucosinlates, And Sulforaphane Promote Hair Growth </w:t>
      </w:r>
      <w:r>
        <w:lastRenderedPageBreak/>
        <w:t xml:space="preserve">In Vitro And Ex Vivo,” </w:t>
      </w:r>
      <w:r>
        <w:rPr>
          <w:i/>
          <w:iCs/>
        </w:rPr>
        <w:t>J. Cosmet. Dermatol.</w:t>
      </w:r>
      <w:r>
        <w:t>, Vol. 21, No. 3, Pp. 1178–1184, Mar. 2022, Doi: 10.1111/Jocd.14180.</w:t>
      </w:r>
    </w:p>
    <w:p w14:paraId="16A76484" w14:textId="77777777" w:rsidR="002F2D25" w:rsidRDefault="00000000">
      <w:pPr>
        <w:autoSpaceDE w:val="0"/>
        <w:autoSpaceDN w:val="0"/>
        <w:adjustRightInd w:val="0"/>
        <w:ind w:left="426" w:hanging="426"/>
        <w:jc w:val="both"/>
      </w:pPr>
      <w:r>
        <w:t>[12]</w:t>
      </w:r>
      <w:r>
        <w:tab/>
        <w:t xml:space="preserve">Y. Almoshari, “Novel Hydrogels For Topical Applications: An Updated Comprehensive Review Based On Source,” </w:t>
      </w:r>
      <w:r>
        <w:rPr>
          <w:i/>
          <w:iCs/>
        </w:rPr>
        <w:t>Gels</w:t>
      </w:r>
      <w:r>
        <w:t>, Vol. 8, No. 3, P. 174, Mar. 2022, Doi: 10.3390/Gels8030174.</w:t>
      </w:r>
    </w:p>
    <w:p w14:paraId="2EC7D919" w14:textId="77777777" w:rsidR="002F2D25" w:rsidRDefault="00000000">
      <w:pPr>
        <w:autoSpaceDE w:val="0"/>
        <w:autoSpaceDN w:val="0"/>
        <w:adjustRightInd w:val="0"/>
        <w:ind w:left="426" w:hanging="426"/>
        <w:jc w:val="both"/>
      </w:pPr>
      <w:r>
        <w:t>[13]</w:t>
      </w:r>
      <w:r>
        <w:tab/>
        <w:t xml:space="preserve">B. Shafique, M. A. Murtaza, I. Hafiz, K. Ameer, S. Basharat, And I. A. Mohamed Ahmed, “Proteolysis And Therapeutic Potential Of Bioactive Peptides Derived From Cheddar Cheese,” </w:t>
      </w:r>
      <w:r>
        <w:rPr>
          <w:i/>
          <w:iCs/>
        </w:rPr>
        <w:t>Food Sci. Nutr.</w:t>
      </w:r>
      <w:r>
        <w:t>, Vol. 11, No. 9, Pp. 4948–4963, Sep. 2023, Doi: 10.1002/Fsn3.3501.</w:t>
      </w:r>
    </w:p>
    <w:p w14:paraId="43E04FF3" w14:textId="77777777" w:rsidR="002F2D25" w:rsidRDefault="00000000">
      <w:pPr>
        <w:autoSpaceDE w:val="0"/>
        <w:autoSpaceDN w:val="0"/>
        <w:adjustRightInd w:val="0"/>
        <w:ind w:left="426" w:hanging="426"/>
        <w:jc w:val="both"/>
      </w:pPr>
      <w:r>
        <w:t>[14]</w:t>
      </w:r>
      <w:r>
        <w:tab/>
        <w:t xml:space="preserve">K. M. Elsherif, A. M. M. Ewlad-Ahmed, E. A. A. Alhlbad, And A. M. Iqneebir, “Phytochemical Screening, Antioxidant Capacity Measurement, And Mineral Content Determination Of Thymus Vulgaris L. Extracts,” </w:t>
      </w:r>
      <w:r>
        <w:rPr>
          <w:i/>
          <w:iCs/>
        </w:rPr>
        <w:t>Walisongo J. Chem.</w:t>
      </w:r>
      <w:r>
        <w:t>, Vol. 6, No. 2, Pp. 168–180, Dec. 2023, Doi: 10.21580/Wjc.V6i2.17818.</w:t>
      </w:r>
    </w:p>
    <w:p w14:paraId="0F67FC24" w14:textId="77777777" w:rsidR="002F2D25" w:rsidRDefault="00000000">
      <w:pPr>
        <w:autoSpaceDE w:val="0"/>
        <w:autoSpaceDN w:val="0"/>
        <w:adjustRightInd w:val="0"/>
        <w:ind w:left="426" w:hanging="426"/>
        <w:jc w:val="both"/>
      </w:pPr>
      <w:r>
        <w:t>[15]</w:t>
      </w:r>
      <w:r>
        <w:tab/>
        <w:t xml:space="preserve">Devina Chandra, Cut Masyithah Thaib, Steven Tandiono, And Manuppak Irianto Tampubolon, “Formulasi Dan Uji Penetrasi In Vitro Sediaan Gel Sistem Fitosomekstrak Buah Asam Jawa (Tamarindus Indica L.),” </w:t>
      </w:r>
      <w:r>
        <w:rPr>
          <w:i/>
          <w:iCs/>
        </w:rPr>
        <w:t>J. Ris. Ilmu Kesehat. Umum Dan Farm.</w:t>
      </w:r>
      <w:r>
        <w:t>, Vol. 2, No. 4, Pp. 157–178, 2024, Doi: 10.57213/Jrikuf.V2i4.559.</w:t>
      </w:r>
    </w:p>
    <w:p w14:paraId="2340A2E8" w14:textId="77777777" w:rsidR="002F2D25" w:rsidRDefault="00000000">
      <w:pPr>
        <w:autoSpaceDE w:val="0"/>
        <w:autoSpaceDN w:val="0"/>
        <w:adjustRightInd w:val="0"/>
        <w:ind w:left="426" w:hanging="426"/>
        <w:jc w:val="both"/>
      </w:pPr>
      <w:r>
        <w:t>[16]</w:t>
      </w:r>
      <w:r>
        <w:tab/>
        <w:t xml:space="preserve">V. Setiawan, S. Phangestu, A. Grace Soetikno, A. Arianti, And I. Kohar, “Rapid Screening Analysis Of Antioxidant Activities In Green Tea Products Using DPPH And FRAP,” </w:t>
      </w:r>
      <w:r>
        <w:rPr>
          <w:i/>
          <w:iCs/>
        </w:rPr>
        <w:t>Pharm. J. Indones.</w:t>
      </w:r>
      <w:r>
        <w:t>, Vol. 7, No. 1, Pp. 9–14, Dec. 2021, Doi: 10.21776/Ub.Pji.2021.007.01.2.</w:t>
      </w:r>
    </w:p>
    <w:p w14:paraId="01B6701B" w14:textId="77777777" w:rsidR="002F2D25" w:rsidRDefault="00000000">
      <w:pPr>
        <w:autoSpaceDE w:val="0"/>
        <w:autoSpaceDN w:val="0"/>
        <w:adjustRightInd w:val="0"/>
        <w:ind w:left="426" w:hanging="426"/>
        <w:jc w:val="both"/>
      </w:pPr>
      <w:r>
        <w:t>[17]</w:t>
      </w:r>
      <w:r>
        <w:tab/>
        <w:t xml:space="preserve">M. R. Hasan </w:t>
      </w:r>
      <w:r>
        <w:rPr>
          <w:i/>
          <w:iCs/>
        </w:rPr>
        <w:t>Et Al.</w:t>
      </w:r>
      <w:r>
        <w:t xml:space="preserve">, “Antioxidant Activity Study And GC-MS Profiling Of Camellia Sinensis Linn,” </w:t>
      </w:r>
      <w:r>
        <w:rPr>
          <w:i/>
          <w:iCs/>
        </w:rPr>
        <w:t>Heliyon</w:t>
      </w:r>
      <w:r>
        <w:t>, Vol. 10, No. 1, P. E23514, Jan. 2024, Doi: 10.1016/J.Heliyon.2023.E23514.</w:t>
      </w:r>
    </w:p>
    <w:p w14:paraId="4EF77CC5" w14:textId="77777777" w:rsidR="002F2D25" w:rsidRDefault="00000000">
      <w:pPr>
        <w:autoSpaceDE w:val="0"/>
        <w:autoSpaceDN w:val="0"/>
        <w:adjustRightInd w:val="0"/>
        <w:ind w:left="426" w:hanging="426"/>
        <w:jc w:val="both"/>
      </w:pPr>
      <w:r>
        <w:t>[18]</w:t>
      </w:r>
      <w:r>
        <w:tab/>
        <w:t xml:space="preserve">K. Valentová, “Cytoprotective Activity Of Natural And Synthetic Antioxidants,” </w:t>
      </w:r>
      <w:r>
        <w:rPr>
          <w:i/>
          <w:iCs/>
        </w:rPr>
        <w:t>Antioxidants</w:t>
      </w:r>
      <w:r>
        <w:t>, Vol. 9, No. 8, P. 713, Aug. 2020, Doi: 10.3390/Antiox9080713.</w:t>
      </w:r>
    </w:p>
    <w:p w14:paraId="077A7DEB" w14:textId="77777777" w:rsidR="002F2D25" w:rsidRDefault="00000000">
      <w:pPr>
        <w:autoSpaceDE w:val="0"/>
        <w:autoSpaceDN w:val="0"/>
        <w:adjustRightInd w:val="0"/>
        <w:ind w:left="426" w:hanging="426"/>
        <w:jc w:val="both"/>
      </w:pPr>
      <w:r>
        <w:t>[19]</w:t>
      </w:r>
      <w:r>
        <w:tab/>
        <w:t xml:space="preserve">N. A. Fikriana, D. Chusniasih, And A. M. Ulfa, “Uji Efektivitas Ekstrak Etanol Biji Pepaya (Carica Papaya L.) Sediaan Krim Terhadap Bakteri Propionibacterium Acnes,” </w:t>
      </w:r>
      <w:r>
        <w:rPr>
          <w:i/>
          <w:iCs/>
        </w:rPr>
        <w:t>J. Ilmu Kedokt. Dan Kesehat.</w:t>
      </w:r>
      <w:r>
        <w:t>, Vol. 8, No. 3, Oct. 2021, Doi: 10.33024/Jikk.V8i3.4834.</w:t>
      </w:r>
    </w:p>
    <w:p w14:paraId="013D5D84" w14:textId="77777777" w:rsidR="002F2D25" w:rsidRDefault="00000000">
      <w:pPr>
        <w:autoSpaceDE w:val="0"/>
        <w:autoSpaceDN w:val="0"/>
        <w:adjustRightInd w:val="0"/>
        <w:ind w:left="426" w:hanging="426"/>
        <w:jc w:val="both"/>
      </w:pPr>
      <w:r>
        <w:t>[20]</w:t>
      </w:r>
      <w:r>
        <w:tab/>
        <w:t xml:space="preserve">G. S. R. Illah, E. S. Rejeki, And G. E. Pramukantoro, “Uji Aktivitas Antioksidan Kombinasi Ekstrak Etanol Daun Teh Hijau (Camellia Sinensis L.) Dengan Ekstrak Etanol Kulit Buah Naga Merah (Hylocereus Polyrhizus) Menggunakan Metode DPPH,” </w:t>
      </w:r>
      <w:r>
        <w:rPr>
          <w:i/>
          <w:iCs/>
        </w:rPr>
        <w:t>J. Farm. Sains Indones.</w:t>
      </w:r>
      <w:r>
        <w:t>, vol. 7, no. 2, pp. 178–185, Dec. 2024, doi: 10.52216/jfsi.vol7no2p178-185.</w:t>
      </w:r>
    </w:p>
    <w:p w14:paraId="2A394CD3" w14:textId="77777777" w:rsidR="002F2D25" w:rsidRDefault="00000000">
      <w:pPr>
        <w:pStyle w:val="Els-body-text"/>
        <w:spacing w:line="276" w:lineRule="auto"/>
        <w:ind w:firstLine="0"/>
        <w:rPr>
          <w:b/>
          <w:lang w:val="ms"/>
        </w:rPr>
      </w:pPr>
      <w:r>
        <w:rPr>
          <w:b/>
          <w:lang w:val="ms"/>
        </w:rPr>
        <w:fldChar w:fldCharType="end"/>
      </w:r>
    </w:p>
    <w:sectPr w:rsidR="002F2D25" w:rsidSect="00B75599">
      <w:headerReference w:type="even" r:id="rId11"/>
      <w:headerReference w:type="default" r:id="rId12"/>
      <w:footerReference w:type="even" r:id="rId13"/>
      <w:footerReference w:type="default" r:id="rId14"/>
      <w:headerReference w:type="first" r:id="rId15"/>
      <w:footerReference w:type="first" r:id="rId16"/>
      <w:footnotePr>
        <w:numFmt w:val="chicago"/>
      </w:footnotePr>
      <w:type w:val="nextColumn"/>
      <w:pgSz w:w="11907" w:h="16839"/>
      <w:pgMar w:top="1440" w:right="1440" w:bottom="1440" w:left="1440" w:header="907" w:footer="1253" w:gutter="0"/>
      <w:pgNumType w:start="895"/>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F51D1" w14:textId="77777777" w:rsidR="00567A37" w:rsidRDefault="00567A37">
      <w:r>
        <w:separator/>
      </w:r>
    </w:p>
  </w:endnote>
  <w:endnote w:type="continuationSeparator" w:id="0">
    <w:p w14:paraId="5CA517F3" w14:textId="77777777" w:rsidR="00567A37" w:rsidRDefault="00567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77B73D0-5D2D-4E7A-8CCC-AE0E2BEE4886}"/>
    <w:embedBold r:id="rId2" w:fontKey="{21E1ED56-5763-4465-81AD-2384947D7201}"/>
    <w:embedItalic r:id="rId3" w:fontKey="{B959DADC-DB87-4C8F-9928-DBE2AEE7E8C3}"/>
    <w:embedBoldItalic r:id="rId4" w:fontKey="{4D8417D4-7952-45DD-BD42-6C5DFC01DCC1}"/>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5" w:subsetted="1" w:fontKey="{89A03892-A58A-49C6-8003-8547A6B6E085}"/>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IPPN M+ Gullive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4"/>
      </w:rPr>
      <w:id w:val="2069677049"/>
      <w:docPartObj>
        <w:docPartGallery w:val="Page Numbers (Bottom of Page)"/>
        <w:docPartUnique/>
      </w:docPartObj>
    </w:sdtPr>
    <w:sdtEndPr>
      <w:rPr>
        <w:noProof/>
      </w:rPr>
    </w:sdtEndPr>
    <w:sdtContent>
      <w:p w14:paraId="77B38918" w14:textId="46C1B063" w:rsidR="003D2C39" w:rsidRPr="003D2C39" w:rsidRDefault="003D2C39" w:rsidP="003D2C39">
        <w:pPr>
          <w:pStyle w:val="Footer"/>
          <w:jc w:val="center"/>
          <w:rPr>
            <w:sz w:val="20"/>
            <w:szCs w:val="24"/>
          </w:rPr>
        </w:pPr>
        <w:r w:rsidRPr="003D2C39">
          <w:rPr>
            <w:sz w:val="20"/>
            <w:szCs w:val="24"/>
          </w:rPr>
          <w:fldChar w:fldCharType="begin"/>
        </w:r>
        <w:r w:rsidRPr="003D2C39">
          <w:rPr>
            <w:sz w:val="20"/>
            <w:szCs w:val="24"/>
          </w:rPr>
          <w:instrText xml:space="preserve"> PAGE   \* MERGEFORMAT </w:instrText>
        </w:r>
        <w:r w:rsidRPr="003D2C39">
          <w:rPr>
            <w:sz w:val="20"/>
            <w:szCs w:val="24"/>
          </w:rPr>
          <w:fldChar w:fldCharType="separate"/>
        </w:r>
        <w:r w:rsidRPr="003D2C39">
          <w:rPr>
            <w:noProof/>
            <w:sz w:val="20"/>
            <w:szCs w:val="24"/>
          </w:rPr>
          <w:t>2</w:t>
        </w:r>
        <w:r w:rsidRPr="003D2C39">
          <w:rPr>
            <w:noProof/>
            <w:sz w:val="20"/>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4"/>
      </w:rPr>
      <w:id w:val="-2025547564"/>
      <w:docPartObj>
        <w:docPartGallery w:val="Page Numbers (Bottom of Page)"/>
        <w:docPartUnique/>
      </w:docPartObj>
    </w:sdtPr>
    <w:sdtEndPr>
      <w:rPr>
        <w:noProof/>
      </w:rPr>
    </w:sdtEndPr>
    <w:sdtContent>
      <w:p w14:paraId="22CC7BF9" w14:textId="35A100DF" w:rsidR="003D2C39" w:rsidRPr="003D2C39" w:rsidRDefault="003D2C39" w:rsidP="003D2C39">
        <w:pPr>
          <w:pStyle w:val="Footer"/>
          <w:jc w:val="center"/>
          <w:rPr>
            <w:sz w:val="20"/>
            <w:szCs w:val="24"/>
          </w:rPr>
        </w:pPr>
        <w:r w:rsidRPr="003D2C39">
          <w:rPr>
            <w:sz w:val="20"/>
            <w:szCs w:val="24"/>
          </w:rPr>
          <w:fldChar w:fldCharType="begin"/>
        </w:r>
        <w:r w:rsidRPr="003D2C39">
          <w:rPr>
            <w:sz w:val="20"/>
            <w:szCs w:val="24"/>
          </w:rPr>
          <w:instrText xml:space="preserve"> PAGE   \* MERGEFORMAT </w:instrText>
        </w:r>
        <w:r w:rsidRPr="003D2C39">
          <w:rPr>
            <w:sz w:val="20"/>
            <w:szCs w:val="24"/>
          </w:rPr>
          <w:fldChar w:fldCharType="separate"/>
        </w:r>
        <w:r w:rsidRPr="003D2C39">
          <w:rPr>
            <w:noProof/>
            <w:sz w:val="20"/>
            <w:szCs w:val="24"/>
          </w:rPr>
          <w:t>2</w:t>
        </w:r>
        <w:r w:rsidRPr="003D2C39">
          <w:rPr>
            <w:noProof/>
            <w:sz w:val="20"/>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4"/>
      </w:rPr>
      <w:id w:val="-1933427752"/>
      <w:docPartObj>
        <w:docPartGallery w:val="Page Numbers (Bottom of Page)"/>
        <w:docPartUnique/>
      </w:docPartObj>
    </w:sdtPr>
    <w:sdtEndPr>
      <w:rPr>
        <w:noProof/>
      </w:rPr>
    </w:sdtEndPr>
    <w:sdtContent>
      <w:p w14:paraId="1326364A" w14:textId="69CDF013" w:rsidR="002F2D25" w:rsidRPr="003D2C39" w:rsidRDefault="003D2C39" w:rsidP="003D2C39">
        <w:pPr>
          <w:pStyle w:val="Footer"/>
          <w:jc w:val="center"/>
          <w:rPr>
            <w:sz w:val="20"/>
            <w:szCs w:val="24"/>
          </w:rPr>
        </w:pPr>
        <w:r w:rsidRPr="003D2C39">
          <w:rPr>
            <w:sz w:val="20"/>
            <w:szCs w:val="24"/>
          </w:rPr>
          <w:fldChar w:fldCharType="begin"/>
        </w:r>
        <w:r w:rsidRPr="003D2C39">
          <w:rPr>
            <w:sz w:val="20"/>
            <w:szCs w:val="24"/>
          </w:rPr>
          <w:instrText xml:space="preserve"> PAGE   \* MERGEFORMAT </w:instrText>
        </w:r>
        <w:r w:rsidRPr="003D2C39">
          <w:rPr>
            <w:sz w:val="20"/>
            <w:szCs w:val="24"/>
          </w:rPr>
          <w:fldChar w:fldCharType="separate"/>
        </w:r>
        <w:r w:rsidRPr="003D2C39">
          <w:rPr>
            <w:noProof/>
            <w:sz w:val="20"/>
            <w:szCs w:val="24"/>
          </w:rPr>
          <w:t>2</w:t>
        </w:r>
        <w:r w:rsidRPr="003D2C39">
          <w:rPr>
            <w:noProof/>
            <w:sz w:val="20"/>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76DDB" w14:textId="77777777" w:rsidR="00567A37" w:rsidRDefault="00567A37">
      <w:r>
        <w:separator/>
      </w:r>
    </w:p>
  </w:footnote>
  <w:footnote w:type="continuationSeparator" w:id="0">
    <w:p w14:paraId="1ED8C462" w14:textId="77777777" w:rsidR="00567A37" w:rsidRDefault="00567A37">
      <w:r>
        <w:continuationSeparator/>
      </w:r>
    </w:p>
  </w:footnote>
  <w:footnote w:id="1">
    <w:p w14:paraId="354C1A72" w14:textId="77777777" w:rsidR="002F2D25" w:rsidRDefault="00000000" w:rsidP="003D2C39">
      <w:pPr>
        <w:pStyle w:val="Els-body-text"/>
        <w:spacing w:line="240" w:lineRule="auto"/>
        <w:ind w:right="-28" w:firstLine="0"/>
        <w:rPr>
          <w:sz w:val="16"/>
          <w:szCs w:val="16"/>
        </w:rPr>
      </w:pPr>
      <w:r>
        <w:rPr>
          <w:rStyle w:val="FootnoteReference"/>
        </w:rPr>
        <w:footnoteRef/>
      </w:r>
      <w:r>
        <w:rPr>
          <w:sz w:val="16"/>
          <w:szCs w:val="16"/>
        </w:rPr>
        <w:t>Corresponding author: Jhon Patar Sinurat, Institut Kesehatan Medistra Lubuk Pakam, Deli Serdang, Indonesia</w:t>
      </w:r>
    </w:p>
    <w:p w14:paraId="439F636D" w14:textId="77777777" w:rsidR="002F2D25" w:rsidRDefault="00000000" w:rsidP="003D2C39">
      <w:pPr>
        <w:pStyle w:val="Els-body-text"/>
        <w:tabs>
          <w:tab w:val="left" w:pos="2985"/>
        </w:tabs>
        <w:spacing w:line="240" w:lineRule="auto"/>
        <w:ind w:left="709" w:right="-28" w:hanging="709"/>
        <w:rPr>
          <w:sz w:val="16"/>
          <w:szCs w:val="16"/>
        </w:rPr>
      </w:pPr>
      <w:r>
        <w:rPr>
          <w:sz w:val="16"/>
          <w:szCs w:val="16"/>
        </w:rPr>
        <w:t xml:space="preserve">E-mail </w:t>
      </w:r>
      <w:r>
        <w:rPr>
          <w:sz w:val="16"/>
          <w:szCs w:val="16"/>
        </w:rPr>
        <w:tab/>
        <w:t>: jhonpatar12@gmail.com</w:t>
      </w:r>
    </w:p>
    <w:p w14:paraId="54B62889" w14:textId="605B28E3" w:rsidR="002F2D25" w:rsidRDefault="00000000" w:rsidP="003D2C39">
      <w:pPr>
        <w:pStyle w:val="FootnoteText"/>
        <w:rPr>
          <w:rFonts w:ascii="Times New Roman" w:hAnsi="Times New Roman"/>
          <w:sz w:val="16"/>
          <w:szCs w:val="16"/>
        </w:rPr>
      </w:pPr>
      <w:r>
        <w:rPr>
          <w:rFonts w:ascii="Times New Roman" w:hAnsi="Times New Roman"/>
          <w:sz w:val="16"/>
          <w:szCs w:val="16"/>
        </w:rPr>
        <w:t>Doi</w:t>
      </w:r>
      <w:r>
        <w:rPr>
          <w:rFonts w:ascii="Times New Roman" w:hAnsi="Times New Roman"/>
          <w:sz w:val="16"/>
          <w:szCs w:val="16"/>
        </w:rPr>
        <w:tab/>
        <w:t>:</w:t>
      </w:r>
      <w:r w:rsidR="00B75599">
        <w:rPr>
          <w:rFonts w:ascii="Times New Roman" w:hAnsi="Times New Roman"/>
          <w:sz w:val="16"/>
          <w:szCs w:val="16"/>
        </w:rPr>
        <w:t xml:space="preserve"> </w:t>
      </w:r>
      <w:r w:rsidR="00B75599" w:rsidRPr="00B75599">
        <w:rPr>
          <w:rFonts w:ascii="Times New Roman" w:hAnsi="Times New Roman"/>
          <w:sz w:val="16"/>
          <w:szCs w:val="16"/>
        </w:rPr>
        <w:t>10.35451/f66vym74</w:t>
      </w:r>
    </w:p>
    <w:p w14:paraId="6B3DE4BC" w14:textId="7155AB50" w:rsidR="002F2D25" w:rsidRDefault="00000000" w:rsidP="003D2C39">
      <w:pPr>
        <w:pStyle w:val="FootnoteText"/>
        <w:rPr>
          <w:rFonts w:ascii="Times New Roman" w:hAnsi="Times New Roman"/>
          <w:sz w:val="16"/>
          <w:szCs w:val="16"/>
        </w:rPr>
      </w:pPr>
      <w:r>
        <w:rPr>
          <w:rFonts w:ascii="Times New Roman" w:hAnsi="Times New Roman"/>
          <w:sz w:val="16"/>
          <w:szCs w:val="16"/>
        </w:rPr>
        <w:t>Received</w:t>
      </w:r>
      <w:r>
        <w:rPr>
          <w:rFonts w:ascii="Times New Roman" w:hAnsi="Times New Roman"/>
          <w:sz w:val="16"/>
          <w:szCs w:val="16"/>
        </w:rPr>
        <w:tab/>
        <w:t>:</w:t>
      </w:r>
      <w:r w:rsidR="00273854" w:rsidRPr="00273854">
        <w:rPr>
          <w:rFonts w:ascii="Times New Roman" w:hAnsi="Times New Roman"/>
          <w:sz w:val="16"/>
          <w:szCs w:val="16"/>
        </w:rPr>
        <w:t xml:space="preserve"> </w:t>
      </w:r>
      <w:r w:rsidR="00273854">
        <w:rPr>
          <w:rFonts w:ascii="Times New Roman" w:hAnsi="Times New Roman"/>
          <w:sz w:val="16"/>
          <w:szCs w:val="16"/>
        </w:rPr>
        <w:t>March 24</w:t>
      </w:r>
      <w:r w:rsidR="00273854" w:rsidRPr="005D3268">
        <w:rPr>
          <w:rFonts w:ascii="Times New Roman" w:hAnsi="Times New Roman"/>
          <w:sz w:val="16"/>
          <w:szCs w:val="16"/>
        </w:rPr>
        <w:t xml:space="preserve">, 2026, Accepted: </w:t>
      </w:r>
      <w:r w:rsidR="00273854">
        <w:rPr>
          <w:rFonts w:ascii="Times New Roman" w:hAnsi="Times New Roman"/>
          <w:sz w:val="16"/>
          <w:szCs w:val="16"/>
        </w:rPr>
        <w:t>April 20</w:t>
      </w:r>
      <w:r w:rsidR="00273854" w:rsidRPr="005D3268">
        <w:rPr>
          <w:rFonts w:ascii="Times New Roman" w:hAnsi="Times New Roman"/>
          <w:sz w:val="16"/>
          <w:szCs w:val="16"/>
        </w:rPr>
        <w:t>, 2026, Published: April 30, 2026</w:t>
      </w:r>
    </w:p>
    <w:p w14:paraId="166C418B" w14:textId="76D97C1F" w:rsidR="002F2D25" w:rsidRPr="00E302A1" w:rsidRDefault="00000000" w:rsidP="00E302A1">
      <w:pPr>
        <w:pStyle w:val="Els-body-text"/>
        <w:tabs>
          <w:tab w:val="left" w:pos="2985"/>
        </w:tabs>
        <w:spacing w:line="240" w:lineRule="auto"/>
        <w:ind w:right="-28" w:firstLine="0"/>
        <w:rPr>
          <w:sz w:val="16"/>
          <w:szCs w:val="16"/>
        </w:rPr>
      </w:pPr>
      <w:r>
        <w:rPr>
          <w:sz w:val="16"/>
          <w:szCs w:val="16"/>
        </w:rPr>
        <w:t>Copyright: © 2026 the Author(s). Creative Commons License This work is licensed under a Creative Commons Attribution 4.0 International License.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B732" w14:textId="4A218538" w:rsidR="002F2D25" w:rsidRDefault="00000000">
    <w:pPr>
      <w:pStyle w:val="Header"/>
      <w:tabs>
        <w:tab w:val="center" w:pos="4920"/>
      </w:tabs>
      <w:spacing w:line="200" w:lineRule="exact"/>
      <w:rPr>
        <w:i w:val="0"/>
        <w:iCs/>
        <w:szCs w:val="16"/>
      </w:rPr>
    </w:pPr>
    <w:r>
      <w:tab/>
    </w:r>
    <w:r w:rsidR="003D2C39" w:rsidRPr="005D3268">
      <w:rPr>
        <w:iCs/>
        <w:lang w:val="id-ID"/>
      </w:rPr>
      <w:t>Jurnal Farmasimed (JFM), Volume 8, Nomor 2, Tahun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DF3C" w14:textId="3208D141" w:rsidR="002F2D25" w:rsidRDefault="00000000">
    <w:pPr>
      <w:pStyle w:val="Header"/>
      <w:tabs>
        <w:tab w:val="clear" w:pos="9356"/>
        <w:tab w:val="center" w:pos="4920"/>
        <w:tab w:val="right" w:pos="9214"/>
      </w:tabs>
      <w:jc w:val="right"/>
    </w:pPr>
    <w:r>
      <w:tab/>
    </w:r>
    <w:r w:rsidR="003D2C39" w:rsidRPr="005D3268">
      <w:rPr>
        <w:iCs/>
        <w:lang w:val="id-ID"/>
      </w:rPr>
      <w:t>Jurnal Farmasimed (JFM), Volume 8, Nomor 2, Tahun 2026</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3893" w14:textId="77777777" w:rsidR="003D2C39" w:rsidRDefault="003D2C39" w:rsidP="003D2C39">
    <w:pPr>
      <w:pStyle w:val="Header"/>
      <w:spacing w:before="0" w:beforeAutospacing="0" w:after="0" w:line="240" w:lineRule="auto"/>
      <w:contextualSpacing/>
      <w:rPr>
        <w:i w:val="0"/>
        <w:iCs/>
        <w:sz w:val="18"/>
      </w:rPr>
    </w:pPr>
    <w:r>
      <w:rPr>
        <w:i w:val="0"/>
        <w:noProof/>
        <w:szCs w:val="16"/>
      </w:rPr>
      <w:drawing>
        <wp:anchor distT="0" distB="0" distL="114300" distR="114300" simplePos="0" relativeHeight="251659264" behindDoc="1" locked="0" layoutInCell="1" allowOverlap="1" wp14:anchorId="3C39D2CA" wp14:editId="11586302">
          <wp:simplePos x="0" y="0"/>
          <wp:positionH relativeFrom="column">
            <wp:posOffset>4036999</wp:posOffset>
          </wp:positionH>
          <wp:positionV relativeFrom="paragraph">
            <wp:posOffset>3948</wp:posOffset>
          </wp:positionV>
          <wp:extent cx="1723524" cy="3975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524" cy="397510"/>
                  </a:xfrm>
                  <a:prstGeom prst="rect">
                    <a:avLst/>
                  </a:prstGeom>
                  <a:noFill/>
                  <a:ln>
                    <a:noFill/>
                  </a:ln>
                </pic:spPr>
              </pic:pic>
            </a:graphicData>
          </a:graphic>
          <wp14:sizeRelH relativeFrom="page">
            <wp14:pctWidth>0</wp14:pctWidth>
          </wp14:sizeRelH>
          <wp14:sizeRelV relativeFrom="page">
            <wp14:pctHeight>0</wp14:pctHeight>
          </wp14:sizeRelV>
        </wp:anchor>
      </w:drawing>
    </w:r>
    <w:r>
      <w:rPr>
        <w:i w:val="0"/>
        <w:iCs/>
        <w:sz w:val="18"/>
      </w:rPr>
      <w:t>JURNAL FARMASIMED (JFM)</w:t>
    </w:r>
  </w:p>
  <w:p w14:paraId="25B14E4C" w14:textId="77777777" w:rsidR="003D2C39" w:rsidRPr="001A5AC2" w:rsidRDefault="003D2C39" w:rsidP="003D2C39">
    <w:pPr>
      <w:pStyle w:val="Header"/>
      <w:spacing w:before="0" w:beforeAutospacing="0" w:after="0" w:line="240" w:lineRule="auto"/>
      <w:contextualSpacing/>
      <w:rPr>
        <w:i w:val="0"/>
        <w:iCs/>
        <w:sz w:val="33"/>
        <w:szCs w:val="33"/>
        <w:lang w:val="en-IN" w:eastAsia="en-IN"/>
      </w:rPr>
    </w:pPr>
    <w:r>
      <w:rPr>
        <w:i w:val="0"/>
        <w:iCs/>
        <w:sz w:val="18"/>
      </w:rPr>
      <w:t>E-ISSN: 2655-0814</w:t>
    </w:r>
  </w:p>
  <w:p w14:paraId="1E158CDB" w14:textId="77777777" w:rsidR="003D2C39" w:rsidRDefault="003D2C39" w:rsidP="003D2C39">
    <w:pPr>
      <w:pStyle w:val="Header"/>
      <w:tabs>
        <w:tab w:val="left" w:pos="6804"/>
      </w:tabs>
      <w:spacing w:line="240" w:lineRule="auto"/>
      <w:contextualSpacing/>
    </w:pPr>
    <w:hyperlink r:id="rId2" w:history="1">
      <w:r w:rsidRPr="003308EA">
        <w:rPr>
          <w:rStyle w:val="Hyperlink"/>
          <w:i w:val="0"/>
          <w:szCs w:val="16"/>
        </w:rPr>
        <w:t>https://ejournal.medistra.ac.id/index.php/JFM</w:t>
      </w:r>
    </w:hyperlink>
  </w:p>
  <w:p w14:paraId="42A88CF5" w14:textId="77777777" w:rsidR="002F2D25" w:rsidRPr="003D2C39" w:rsidRDefault="002F2D25" w:rsidP="003D2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F2063"/>
    <w:multiLevelType w:val="multilevel"/>
    <w:tmpl w:val="18AF2063"/>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E0393"/>
    <w:multiLevelType w:val="multilevel"/>
    <w:tmpl w:val="1A2E0393"/>
    <w:lvl w:ilvl="0">
      <w:start w:val="1"/>
      <w:numFmt w:val="bullet"/>
      <w:pStyle w:val="Els-bulletlist"/>
      <w:lvlText w:val=""/>
      <w:lvlJc w:val="left"/>
      <w:pPr>
        <w:tabs>
          <w:tab w:val="left" w:pos="360"/>
        </w:tabs>
        <w:ind w:left="240" w:hanging="240"/>
      </w:pPr>
      <w:rPr>
        <w:rFonts w:ascii="Symbol" w:hAnsi="Symbol" w:hint="default"/>
      </w:rPr>
    </w:lvl>
    <w:lvl w:ilvl="1">
      <w:start w:val="1"/>
      <w:numFmt w:val="bullet"/>
      <w:lvlText w:val="○"/>
      <w:lvlJc w:val="left"/>
      <w:pPr>
        <w:tabs>
          <w:tab w:val="left" w:pos="600"/>
        </w:tabs>
        <w:ind w:left="480" w:hanging="240"/>
      </w:pPr>
      <w:rPr>
        <w:rFonts w:ascii="Times New Roman" w:hAnsi="Times New Roman" w:hint="default"/>
        <w:sz w:val="28"/>
      </w:rPr>
    </w:lvl>
    <w:lvl w:ilvl="2">
      <w:start w:val="1"/>
      <w:numFmt w:val="bullet"/>
      <w:lvlText w:val="–"/>
      <w:lvlJc w:val="left"/>
      <w:pPr>
        <w:tabs>
          <w:tab w:val="left" w:pos="840"/>
        </w:tabs>
        <w:ind w:left="720" w:hanging="240"/>
      </w:pPr>
      <w:rPr>
        <w:rFonts w:ascii="Times New Roman" w:hAnsi="Times New Roman" w:hint="default"/>
      </w:rPr>
    </w:lvl>
    <w:lvl w:ilvl="3">
      <w:start w:val="1"/>
      <w:numFmt w:val="none"/>
      <w:lvlText w:val="-"/>
      <w:lvlJc w:val="left"/>
      <w:pPr>
        <w:tabs>
          <w:tab w:val="left" w:pos="1080"/>
        </w:tabs>
        <w:ind w:left="960" w:hanging="240"/>
      </w:pPr>
      <w:rPr>
        <w:rFonts w:ascii="Times New Roman" w:hAnsi="Times New Roman" w:hint="default"/>
      </w:rPr>
    </w:lvl>
    <w:lvl w:ilvl="4">
      <w:start w:val="1"/>
      <w:numFmt w:val="none"/>
      <w:lvlText w:val="-"/>
      <w:lvlJc w:val="left"/>
      <w:pPr>
        <w:tabs>
          <w:tab w:val="left" w:pos="1320"/>
        </w:tabs>
        <w:ind w:left="1200" w:hanging="240"/>
      </w:pPr>
      <w:rPr>
        <w:rFonts w:ascii="Times New Roman" w:hAnsi="Times New Roman" w:hint="default"/>
      </w:rPr>
    </w:lvl>
    <w:lvl w:ilvl="5">
      <w:start w:val="1"/>
      <w:numFmt w:val="none"/>
      <w:lvlText w:val="-"/>
      <w:lvlJc w:val="left"/>
      <w:pPr>
        <w:tabs>
          <w:tab w:val="left" w:pos="1560"/>
        </w:tabs>
        <w:ind w:left="1440" w:hanging="240"/>
      </w:pPr>
      <w:rPr>
        <w:rFonts w:ascii="Times New Roman" w:hAnsi="Times New Roman" w:hint="default"/>
      </w:rPr>
    </w:lvl>
    <w:lvl w:ilvl="6">
      <w:start w:val="1"/>
      <w:numFmt w:val="none"/>
      <w:lvlText w:val="-"/>
      <w:lvlJc w:val="left"/>
      <w:pPr>
        <w:tabs>
          <w:tab w:val="left" w:pos="1800"/>
        </w:tabs>
        <w:ind w:left="1680" w:hanging="240"/>
      </w:pPr>
      <w:rPr>
        <w:rFonts w:ascii="Times New Roman" w:hAnsi="Times New Roman" w:hint="default"/>
      </w:rPr>
    </w:lvl>
    <w:lvl w:ilvl="7">
      <w:start w:val="1"/>
      <w:numFmt w:val="none"/>
      <w:lvlText w:val="-"/>
      <w:lvlJc w:val="left"/>
      <w:pPr>
        <w:tabs>
          <w:tab w:val="left" w:pos="2040"/>
        </w:tabs>
        <w:ind w:left="1920" w:hanging="240"/>
      </w:pPr>
      <w:rPr>
        <w:rFonts w:ascii="Times New Roman" w:hAnsi="Times New Roman" w:hint="default"/>
      </w:rPr>
    </w:lvl>
    <w:lvl w:ilvl="8">
      <w:start w:val="1"/>
      <w:numFmt w:val="none"/>
      <w:lvlText w:val="-"/>
      <w:lvlJc w:val="left"/>
      <w:pPr>
        <w:tabs>
          <w:tab w:val="left" w:pos="2280"/>
        </w:tabs>
        <w:ind w:left="2160" w:hanging="240"/>
      </w:pPr>
      <w:rPr>
        <w:rFonts w:ascii="Times New Roman" w:hAnsi="Times New Roman" w:hint="default"/>
      </w:rPr>
    </w:lvl>
  </w:abstractNum>
  <w:abstractNum w:abstractNumId="2" w15:restartNumberingAfterBreak="0">
    <w:nsid w:val="29322B9F"/>
    <w:multiLevelType w:val="multilevel"/>
    <w:tmpl w:val="29322B9F"/>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3" w15:restartNumberingAfterBreak="0">
    <w:nsid w:val="527E7170"/>
    <w:multiLevelType w:val="multilevel"/>
    <w:tmpl w:val="527E7170"/>
    <w:lvl w:ilvl="0">
      <w:start w:val="1"/>
      <w:numFmt w:val="decimal"/>
      <w:pStyle w:val="Els-numlist"/>
      <w:lvlText w:val="%1."/>
      <w:lvlJc w:val="left"/>
      <w:pPr>
        <w:tabs>
          <w:tab w:val="left" w:pos="360"/>
        </w:tabs>
        <w:ind w:left="240" w:hanging="240"/>
      </w:pPr>
    </w:lvl>
    <w:lvl w:ilvl="1">
      <w:start w:val="1"/>
      <w:numFmt w:val="decimal"/>
      <w:lvlText w:val="%1.%2."/>
      <w:lvlJc w:val="left"/>
      <w:pPr>
        <w:tabs>
          <w:tab w:val="left" w:pos="600"/>
        </w:tabs>
        <w:ind w:left="480" w:hanging="240"/>
      </w:pPr>
    </w:lvl>
    <w:lvl w:ilvl="2">
      <w:start w:val="1"/>
      <w:numFmt w:val="decimal"/>
      <w:lvlText w:val="%1.%2.%3."/>
      <w:lvlJc w:val="left"/>
      <w:pPr>
        <w:tabs>
          <w:tab w:val="left" w:pos="840"/>
        </w:tabs>
        <w:ind w:left="720" w:hanging="240"/>
      </w:pPr>
    </w:lvl>
    <w:lvl w:ilvl="3">
      <w:start w:val="1"/>
      <w:numFmt w:val="decimal"/>
      <w:lvlText w:val="%1.%2.%3.%4."/>
      <w:lvlJc w:val="left"/>
      <w:pPr>
        <w:tabs>
          <w:tab w:val="left" w:pos="1080"/>
        </w:tabs>
        <w:ind w:left="960" w:hanging="240"/>
      </w:pPr>
    </w:lvl>
    <w:lvl w:ilvl="4">
      <w:start w:val="1"/>
      <w:numFmt w:val="decimal"/>
      <w:lvlText w:val="%1.%2.%3.%4.%5."/>
      <w:lvlJc w:val="left"/>
      <w:pPr>
        <w:tabs>
          <w:tab w:val="left" w:pos="1320"/>
        </w:tabs>
        <w:ind w:left="1200" w:hanging="240"/>
      </w:pPr>
    </w:lvl>
    <w:lvl w:ilvl="5">
      <w:start w:val="1"/>
      <w:numFmt w:val="decimal"/>
      <w:lvlText w:val="%1.%2.%3.%4.%5.%6."/>
      <w:lvlJc w:val="left"/>
      <w:pPr>
        <w:tabs>
          <w:tab w:val="left" w:pos="1560"/>
        </w:tabs>
        <w:ind w:left="1440" w:hanging="240"/>
      </w:pPr>
    </w:lvl>
    <w:lvl w:ilvl="6">
      <w:start w:val="1"/>
      <w:numFmt w:val="decimal"/>
      <w:lvlText w:val="%1.%2.%3.%4.%5.%6.%7."/>
      <w:lvlJc w:val="left"/>
      <w:pPr>
        <w:tabs>
          <w:tab w:val="left" w:pos="1800"/>
        </w:tabs>
        <w:ind w:left="1680" w:hanging="240"/>
      </w:pPr>
    </w:lvl>
    <w:lvl w:ilvl="7">
      <w:start w:val="1"/>
      <w:numFmt w:val="decimal"/>
      <w:lvlText w:val="%1.%2.%3.%4.%5.%6.%7.%8."/>
      <w:lvlJc w:val="left"/>
      <w:pPr>
        <w:tabs>
          <w:tab w:val="left" w:pos="2040"/>
        </w:tabs>
        <w:ind w:left="1920" w:hanging="240"/>
      </w:pPr>
    </w:lvl>
    <w:lvl w:ilvl="8">
      <w:start w:val="1"/>
      <w:numFmt w:val="decimal"/>
      <w:lvlText w:val="%1.%2.%3.%4.%5.%6.%7.%8.%9."/>
      <w:lvlJc w:val="left"/>
      <w:pPr>
        <w:tabs>
          <w:tab w:val="left" w:pos="2280"/>
        </w:tabs>
        <w:ind w:left="2160" w:hanging="240"/>
      </w:pPr>
    </w:lvl>
  </w:abstractNum>
  <w:abstractNum w:abstractNumId="4" w15:restartNumberingAfterBreak="0">
    <w:nsid w:val="56205803"/>
    <w:multiLevelType w:val="multilevel"/>
    <w:tmpl w:val="56205803"/>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 w15:restartNumberingAfterBreak="0">
    <w:nsid w:val="5E827A20"/>
    <w:multiLevelType w:val="multilevel"/>
    <w:tmpl w:val="5E827A20"/>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4536"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6" w15:restartNumberingAfterBreak="0">
    <w:nsid w:val="7FF703E8"/>
    <w:multiLevelType w:val="multilevel"/>
    <w:tmpl w:val="7FF703E8"/>
    <w:lvl w:ilvl="0">
      <w:start w:val="1"/>
      <w:numFmt w:val="decimal"/>
      <w:lvlText w:val="%1."/>
      <w:lvlJc w:val="left"/>
      <w:pPr>
        <w:ind w:left="720" w:hanging="360"/>
      </w:pPr>
      <w:rPr>
        <w:rFonts w:hint="default"/>
        <w:i w:val="0"/>
        <w:i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084447280">
    <w:abstractNumId w:val="4"/>
  </w:num>
  <w:num w:numId="2" w16cid:durableId="486438950">
    <w:abstractNumId w:val="2"/>
  </w:num>
  <w:num w:numId="3" w16cid:durableId="211229736">
    <w:abstractNumId w:val="5"/>
  </w:num>
  <w:num w:numId="4" w16cid:durableId="1937398831">
    <w:abstractNumId w:val="1"/>
  </w:num>
  <w:num w:numId="5" w16cid:durableId="464007586">
    <w:abstractNumId w:val="3"/>
  </w:num>
  <w:num w:numId="6" w16cid:durableId="2139905879">
    <w:abstractNumId w:val="6"/>
  </w:num>
  <w:num w:numId="7" w16cid:durableId="187603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intPostScriptOverText/>
  <w:embedTrueTypeFonts/>
  <w:embedSystemFonts/>
  <w:saveSubsetFonts/>
  <w:attachedTemplate r:id="rId1"/>
  <w:defaultTabStop w:val="720"/>
  <w:evenAndOddHeaders/>
  <w:drawingGridHorizontalSpacing w:val="120"/>
  <w:drawingGridVerticalSpacing w:val="120"/>
  <w:noPunctuationKerning/>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9C"/>
    <w:rsid w:val="00002379"/>
    <w:rsid w:val="0000378B"/>
    <w:rsid w:val="00014939"/>
    <w:rsid w:val="0001694F"/>
    <w:rsid w:val="00020A4D"/>
    <w:rsid w:val="00023069"/>
    <w:rsid w:val="000269B0"/>
    <w:rsid w:val="000321D9"/>
    <w:rsid w:val="00032238"/>
    <w:rsid w:val="00032B17"/>
    <w:rsid w:val="00034682"/>
    <w:rsid w:val="00035B59"/>
    <w:rsid w:val="00035BA0"/>
    <w:rsid w:val="00041AB8"/>
    <w:rsid w:val="000434DD"/>
    <w:rsid w:val="00050BCB"/>
    <w:rsid w:val="000510B4"/>
    <w:rsid w:val="000632AD"/>
    <w:rsid w:val="000666E6"/>
    <w:rsid w:val="00067B07"/>
    <w:rsid w:val="00067F5F"/>
    <w:rsid w:val="00071084"/>
    <w:rsid w:val="00073033"/>
    <w:rsid w:val="000740D0"/>
    <w:rsid w:val="00074933"/>
    <w:rsid w:val="00074DC2"/>
    <w:rsid w:val="0009068B"/>
    <w:rsid w:val="000959A7"/>
    <w:rsid w:val="000A0C67"/>
    <w:rsid w:val="000A1C33"/>
    <w:rsid w:val="000A25B5"/>
    <w:rsid w:val="000A53A5"/>
    <w:rsid w:val="000B28B5"/>
    <w:rsid w:val="000C3497"/>
    <w:rsid w:val="000C3875"/>
    <w:rsid w:val="000C3911"/>
    <w:rsid w:val="000D1C5C"/>
    <w:rsid w:val="000D4338"/>
    <w:rsid w:val="000D4D48"/>
    <w:rsid w:val="000E04B6"/>
    <w:rsid w:val="000E102B"/>
    <w:rsid w:val="000E2E38"/>
    <w:rsid w:val="000E3E5F"/>
    <w:rsid w:val="000F15CA"/>
    <w:rsid w:val="000F3815"/>
    <w:rsid w:val="000F4036"/>
    <w:rsid w:val="000F4446"/>
    <w:rsid w:val="000F6DD6"/>
    <w:rsid w:val="001000F7"/>
    <w:rsid w:val="001031CD"/>
    <w:rsid w:val="001036BD"/>
    <w:rsid w:val="00104242"/>
    <w:rsid w:val="001111C5"/>
    <w:rsid w:val="00111831"/>
    <w:rsid w:val="001128CD"/>
    <w:rsid w:val="00113ACB"/>
    <w:rsid w:val="001150D9"/>
    <w:rsid w:val="00116DD6"/>
    <w:rsid w:val="0011749C"/>
    <w:rsid w:val="00117603"/>
    <w:rsid w:val="00121670"/>
    <w:rsid w:val="00122BE8"/>
    <w:rsid w:val="001230E2"/>
    <w:rsid w:val="00132FB1"/>
    <w:rsid w:val="00134262"/>
    <w:rsid w:val="001447E9"/>
    <w:rsid w:val="00153DD3"/>
    <w:rsid w:val="001555DF"/>
    <w:rsid w:val="00155FD7"/>
    <w:rsid w:val="001567AA"/>
    <w:rsid w:val="00160818"/>
    <w:rsid w:val="00161615"/>
    <w:rsid w:val="001623DA"/>
    <w:rsid w:val="0016369E"/>
    <w:rsid w:val="0016589A"/>
    <w:rsid w:val="00171FAA"/>
    <w:rsid w:val="00173D18"/>
    <w:rsid w:val="00174617"/>
    <w:rsid w:val="00177EA2"/>
    <w:rsid w:val="001813EC"/>
    <w:rsid w:val="00181873"/>
    <w:rsid w:val="00181A4E"/>
    <w:rsid w:val="00182AB3"/>
    <w:rsid w:val="00186C2F"/>
    <w:rsid w:val="00186DA3"/>
    <w:rsid w:val="00187A6C"/>
    <w:rsid w:val="00194A15"/>
    <w:rsid w:val="00197AF5"/>
    <w:rsid w:val="001A165D"/>
    <w:rsid w:val="001A169C"/>
    <w:rsid w:val="001A4900"/>
    <w:rsid w:val="001A5143"/>
    <w:rsid w:val="001A5AC2"/>
    <w:rsid w:val="001A637A"/>
    <w:rsid w:val="001A6EE8"/>
    <w:rsid w:val="001B1D59"/>
    <w:rsid w:val="001B2295"/>
    <w:rsid w:val="001B28D6"/>
    <w:rsid w:val="001B59D9"/>
    <w:rsid w:val="001B5DDB"/>
    <w:rsid w:val="001B6696"/>
    <w:rsid w:val="001C0757"/>
    <w:rsid w:val="001C5345"/>
    <w:rsid w:val="001C5518"/>
    <w:rsid w:val="001C5B96"/>
    <w:rsid w:val="001C6667"/>
    <w:rsid w:val="001D192A"/>
    <w:rsid w:val="001D274F"/>
    <w:rsid w:val="001D2B8C"/>
    <w:rsid w:val="001D5AED"/>
    <w:rsid w:val="001D5E49"/>
    <w:rsid w:val="001D67EE"/>
    <w:rsid w:val="001D6FD0"/>
    <w:rsid w:val="001E076E"/>
    <w:rsid w:val="001F00E5"/>
    <w:rsid w:val="001F1CD4"/>
    <w:rsid w:val="00201FFE"/>
    <w:rsid w:val="00210CB0"/>
    <w:rsid w:val="00211C62"/>
    <w:rsid w:val="00211E01"/>
    <w:rsid w:val="00212988"/>
    <w:rsid w:val="002210AD"/>
    <w:rsid w:val="00221826"/>
    <w:rsid w:val="0022243D"/>
    <w:rsid w:val="00225293"/>
    <w:rsid w:val="00226DB0"/>
    <w:rsid w:val="00233070"/>
    <w:rsid w:val="00235D17"/>
    <w:rsid w:val="002366BD"/>
    <w:rsid w:val="00242512"/>
    <w:rsid w:val="00242634"/>
    <w:rsid w:val="00242FEC"/>
    <w:rsid w:val="00244FFE"/>
    <w:rsid w:val="0024710C"/>
    <w:rsid w:val="0025249D"/>
    <w:rsid w:val="0025270D"/>
    <w:rsid w:val="00256CEF"/>
    <w:rsid w:val="00260DA4"/>
    <w:rsid w:val="00261A51"/>
    <w:rsid w:val="0026318E"/>
    <w:rsid w:val="00264870"/>
    <w:rsid w:val="002651BB"/>
    <w:rsid w:val="002715E7"/>
    <w:rsid w:val="002725BF"/>
    <w:rsid w:val="00273078"/>
    <w:rsid w:val="00273503"/>
    <w:rsid w:val="00273854"/>
    <w:rsid w:val="0027513F"/>
    <w:rsid w:val="00277052"/>
    <w:rsid w:val="00277D52"/>
    <w:rsid w:val="00281362"/>
    <w:rsid w:val="002856FB"/>
    <w:rsid w:val="00285FAA"/>
    <w:rsid w:val="002901AD"/>
    <w:rsid w:val="00292084"/>
    <w:rsid w:val="00293957"/>
    <w:rsid w:val="00293AE3"/>
    <w:rsid w:val="00296BDD"/>
    <w:rsid w:val="002A3C62"/>
    <w:rsid w:val="002A6195"/>
    <w:rsid w:val="002A7213"/>
    <w:rsid w:val="002A7369"/>
    <w:rsid w:val="002A75D2"/>
    <w:rsid w:val="002B0067"/>
    <w:rsid w:val="002B01FD"/>
    <w:rsid w:val="002B152A"/>
    <w:rsid w:val="002B3244"/>
    <w:rsid w:val="002B3931"/>
    <w:rsid w:val="002B46AD"/>
    <w:rsid w:val="002B6061"/>
    <w:rsid w:val="002B679C"/>
    <w:rsid w:val="002B67D2"/>
    <w:rsid w:val="002B7600"/>
    <w:rsid w:val="002C5FE4"/>
    <w:rsid w:val="002C6D75"/>
    <w:rsid w:val="002D2196"/>
    <w:rsid w:val="002D4CDB"/>
    <w:rsid w:val="002E0044"/>
    <w:rsid w:val="002E7DF3"/>
    <w:rsid w:val="002F09DA"/>
    <w:rsid w:val="002F0D02"/>
    <w:rsid w:val="002F2D25"/>
    <w:rsid w:val="002F5668"/>
    <w:rsid w:val="002F5987"/>
    <w:rsid w:val="00300FE8"/>
    <w:rsid w:val="00304028"/>
    <w:rsid w:val="00311EC4"/>
    <w:rsid w:val="003125CA"/>
    <w:rsid w:val="003126AC"/>
    <w:rsid w:val="00326B48"/>
    <w:rsid w:val="0033564D"/>
    <w:rsid w:val="003434F3"/>
    <w:rsid w:val="003440D1"/>
    <w:rsid w:val="0034477C"/>
    <w:rsid w:val="00345043"/>
    <w:rsid w:val="00345990"/>
    <w:rsid w:val="00346325"/>
    <w:rsid w:val="0034711B"/>
    <w:rsid w:val="003533F8"/>
    <w:rsid w:val="003538FA"/>
    <w:rsid w:val="003547C4"/>
    <w:rsid w:val="003579CB"/>
    <w:rsid w:val="00363993"/>
    <w:rsid w:val="003649EA"/>
    <w:rsid w:val="0036667C"/>
    <w:rsid w:val="0036784C"/>
    <w:rsid w:val="00370194"/>
    <w:rsid w:val="003704F2"/>
    <w:rsid w:val="00373F29"/>
    <w:rsid w:val="00375858"/>
    <w:rsid w:val="00381CB8"/>
    <w:rsid w:val="0038281C"/>
    <w:rsid w:val="00385450"/>
    <w:rsid w:val="00390351"/>
    <w:rsid w:val="00395823"/>
    <w:rsid w:val="003A080A"/>
    <w:rsid w:val="003A27B8"/>
    <w:rsid w:val="003A544B"/>
    <w:rsid w:val="003B0A06"/>
    <w:rsid w:val="003B55CF"/>
    <w:rsid w:val="003C12ED"/>
    <w:rsid w:val="003C21F2"/>
    <w:rsid w:val="003C258E"/>
    <w:rsid w:val="003C2FF7"/>
    <w:rsid w:val="003C44F4"/>
    <w:rsid w:val="003C49AC"/>
    <w:rsid w:val="003C58A3"/>
    <w:rsid w:val="003D2C39"/>
    <w:rsid w:val="003D4BA1"/>
    <w:rsid w:val="003D5D14"/>
    <w:rsid w:val="003D5DA8"/>
    <w:rsid w:val="003E1B8F"/>
    <w:rsid w:val="003E4CCC"/>
    <w:rsid w:val="003E6855"/>
    <w:rsid w:val="003F4337"/>
    <w:rsid w:val="003F7109"/>
    <w:rsid w:val="003F7DD7"/>
    <w:rsid w:val="00404049"/>
    <w:rsid w:val="0041269A"/>
    <w:rsid w:val="0041462A"/>
    <w:rsid w:val="00416BF8"/>
    <w:rsid w:val="004175FE"/>
    <w:rsid w:val="00420211"/>
    <w:rsid w:val="00422339"/>
    <w:rsid w:val="0042498F"/>
    <w:rsid w:val="0042683D"/>
    <w:rsid w:val="00430B03"/>
    <w:rsid w:val="004328B2"/>
    <w:rsid w:val="0043404A"/>
    <w:rsid w:val="00437ED9"/>
    <w:rsid w:val="00441ED9"/>
    <w:rsid w:val="00442EED"/>
    <w:rsid w:val="00444EFA"/>
    <w:rsid w:val="00447151"/>
    <w:rsid w:val="00456B68"/>
    <w:rsid w:val="004606D3"/>
    <w:rsid w:val="0047095F"/>
    <w:rsid w:val="00475D10"/>
    <w:rsid w:val="00477BDF"/>
    <w:rsid w:val="004843F1"/>
    <w:rsid w:val="0049184A"/>
    <w:rsid w:val="00493A8F"/>
    <w:rsid w:val="00496403"/>
    <w:rsid w:val="0049685C"/>
    <w:rsid w:val="004A3E3F"/>
    <w:rsid w:val="004A474A"/>
    <w:rsid w:val="004A599D"/>
    <w:rsid w:val="004B53D9"/>
    <w:rsid w:val="004B5C95"/>
    <w:rsid w:val="004C1644"/>
    <w:rsid w:val="004C1A2E"/>
    <w:rsid w:val="004D1579"/>
    <w:rsid w:val="004D4544"/>
    <w:rsid w:val="004E064F"/>
    <w:rsid w:val="004E28D3"/>
    <w:rsid w:val="004E47DA"/>
    <w:rsid w:val="004E4FD9"/>
    <w:rsid w:val="004E71D5"/>
    <w:rsid w:val="004E7612"/>
    <w:rsid w:val="004F2F32"/>
    <w:rsid w:val="004F4928"/>
    <w:rsid w:val="004F658E"/>
    <w:rsid w:val="004F75EB"/>
    <w:rsid w:val="005027CD"/>
    <w:rsid w:val="00503062"/>
    <w:rsid w:val="005104C6"/>
    <w:rsid w:val="00516F8C"/>
    <w:rsid w:val="00524C83"/>
    <w:rsid w:val="00526F78"/>
    <w:rsid w:val="00531B1B"/>
    <w:rsid w:val="00531F5B"/>
    <w:rsid w:val="00535FC9"/>
    <w:rsid w:val="005360B7"/>
    <w:rsid w:val="00541E4F"/>
    <w:rsid w:val="005429CE"/>
    <w:rsid w:val="00543833"/>
    <w:rsid w:val="00544D7B"/>
    <w:rsid w:val="0054516B"/>
    <w:rsid w:val="00546785"/>
    <w:rsid w:val="005477C0"/>
    <w:rsid w:val="00552DBC"/>
    <w:rsid w:val="00553B48"/>
    <w:rsid w:val="00553F2A"/>
    <w:rsid w:val="0055720F"/>
    <w:rsid w:val="00561A64"/>
    <w:rsid w:val="005646DE"/>
    <w:rsid w:val="005671A5"/>
    <w:rsid w:val="00567A37"/>
    <w:rsid w:val="00570552"/>
    <w:rsid w:val="00570FE9"/>
    <w:rsid w:val="0057235D"/>
    <w:rsid w:val="005765A3"/>
    <w:rsid w:val="00577DD9"/>
    <w:rsid w:val="00580764"/>
    <w:rsid w:val="0058223E"/>
    <w:rsid w:val="00585202"/>
    <w:rsid w:val="0058564A"/>
    <w:rsid w:val="005863AC"/>
    <w:rsid w:val="00587EAF"/>
    <w:rsid w:val="0059170C"/>
    <w:rsid w:val="00592DBB"/>
    <w:rsid w:val="00592F4D"/>
    <w:rsid w:val="005937F4"/>
    <w:rsid w:val="00593CE4"/>
    <w:rsid w:val="005A2B67"/>
    <w:rsid w:val="005A2E21"/>
    <w:rsid w:val="005A3EFA"/>
    <w:rsid w:val="005A54B3"/>
    <w:rsid w:val="005A5821"/>
    <w:rsid w:val="005B176E"/>
    <w:rsid w:val="005B34D4"/>
    <w:rsid w:val="005B44A6"/>
    <w:rsid w:val="005B639E"/>
    <w:rsid w:val="005B69BA"/>
    <w:rsid w:val="005B7F5F"/>
    <w:rsid w:val="005C25DA"/>
    <w:rsid w:val="005C6BB4"/>
    <w:rsid w:val="005C7914"/>
    <w:rsid w:val="005D4459"/>
    <w:rsid w:val="005D4F26"/>
    <w:rsid w:val="005D60FA"/>
    <w:rsid w:val="005E0428"/>
    <w:rsid w:val="005E228C"/>
    <w:rsid w:val="005E5391"/>
    <w:rsid w:val="005E7449"/>
    <w:rsid w:val="00601720"/>
    <w:rsid w:val="00604E92"/>
    <w:rsid w:val="0060504C"/>
    <w:rsid w:val="00606CE4"/>
    <w:rsid w:val="00606E54"/>
    <w:rsid w:val="00611585"/>
    <w:rsid w:val="006124D0"/>
    <w:rsid w:val="0061361B"/>
    <w:rsid w:val="00620DCE"/>
    <w:rsid w:val="00621A1E"/>
    <w:rsid w:val="0062258F"/>
    <w:rsid w:val="00624E0A"/>
    <w:rsid w:val="00625510"/>
    <w:rsid w:val="00627DA3"/>
    <w:rsid w:val="0063045B"/>
    <w:rsid w:val="006310DE"/>
    <w:rsid w:val="00631DD7"/>
    <w:rsid w:val="00632B25"/>
    <w:rsid w:val="00632F04"/>
    <w:rsid w:val="00634A0E"/>
    <w:rsid w:val="00634B07"/>
    <w:rsid w:val="006371DA"/>
    <w:rsid w:val="0063765A"/>
    <w:rsid w:val="00640E03"/>
    <w:rsid w:val="00642506"/>
    <w:rsid w:val="00642797"/>
    <w:rsid w:val="0065035D"/>
    <w:rsid w:val="00651A44"/>
    <w:rsid w:val="00652497"/>
    <w:rsid w:val="00654559"/>
    <w:rsid w:val="006549A6"/>
    <w:rsid w:val="00654EBC"/>
    <w:rsid w:val="00663F38"/>
    <w:rsid w:val="00664317"/>
    <w:rsid w:val="00665A22"/>
    <w:rsid w:val="00666F9C"/>
    <w:rsid w:val="00671AA4"/>
    <w:rsid w:val="006729C4"/>
    <w:rsid w:val="00675C2B"/>
    <w:rsid w:val="006771C8"/>
    <w:rsid w:val="00684B23"/>
    <w:rsid w:val="00691883"/>
    <w:rsid w:val="00691E48"/>
    <w:rsid w:val="00694EA9"/>
    <w:rsid w:val="00694FE5"/>
    <w:rsid w:val="00696E44"/>
    <w:rsid w:val="006A07A9"/>
    <w:rsid w:val="006A3495"/>
    <w:rsid w:val="006A3910"/>
    <w:rsid w:val="006A3A63"/>
    <w:rsid w:val="006A3B66"/>
    <w:rsid w:val="006A3BC9"/>
    <w:rsid w:val="006A4490"/>
    <w:rsid w:val="006A5781"/>
    <w:rsid w:val="006B0262"/>
    <w:rsid w:val="006B10F6"/>
    <w:rsid w:val="006B11AB"/>
    <w:rsid w:val="006B4052"/>
    <w:rsid w:val="006B4920"/>
    <w:rsid w:val="006B5547"/>
    <w:rsid w:val="006B6155"/>
    <w:rsid w:val="006B6DAD"/>
    <w:rsid w:val="006C0A11"/>
    <w:rsid w:val="006C4643"/>
    <w:rsid w:val="006C6562"/>
    <w:rsid w:val="006D01F8"/>
    <w:rsid w:val="006D24AE"/>
    <w:rsid w:val="006D26EF"/>
    <w:rsid w:val="006D328D"/>
    <w:rsid w:val="006D5811"/>
    <w:rsid w:val="006D773F"/>
    <w:rsid w:val="006E0CD6"/>
    <w:rsid w:val="006E2FB3"/>
    <w:rsid w:val="006E3F6C"/>
    <w:rsid w:val="006E46EE"/>
    <w:rsid w:val="006E63DF"/>
    <w:rsid w:val="006F2E0D"/>
    <w:rsid w:val="006F358C"/>
    <w:rsid w:val="006F4A34"/>
    <w:rsid w:val="006F6896"/>
    <w:rsid w:val="006F6BFE"/>
    <w:rsid w:val="0071428B"/>
    <w:rsid w:val="007152B3"/>
    <w:rsid w:val="007160A6"/>
    <w:rsid w:val="00716358"/>
    <w:rsid w:val="00716BAD"/>
    <w:rsid w:val="0071739A"/>
    <w:rsid w:val="00717881"/>
    <w:rsid w:val="00717C24"/>
    <w:rsid w:val="00721B06"/>
    <w:rsid w:val="007238D7"/>
    <w:rsid w:val="00730090"/>
    <w:rsid w:val="0073021E"/>
    <w:rsid w:val="0073137E"/>
    <w:rsid w:val="0073232D"/>
    <w:rsid w:val="007340E0"/>
    <w:rsid w:val="00741803"/>
    <w:rsid w:val="00741D42"/>
    <w:rsid w:val="00745585"/>
    <w:rsid w:val="0075277B"/>
    <w:rsid w:val="00756CA3"/>
    <w:rsid w:val="00757BCD"/>
    <w:rsid w:val="007625F3"/>
    <w:rsid w:val="0076261B"/>
    <w:rsid w:val="00762AFD"/>
    <w:rsid w:val="00764C96"/>
    <w:rsid w:val="007658DB"/>
    <w:rsid w:val="00765AB3"/>
    <w:rsid w:val="00765B7F"/>
    <w:rsid w:val="007667E9"/>
    <w:rsid w:val="007707C7"/>
    <w:rsid w:val="00771FC5"/>
    <w:rsid w:val="00772B65"/>
    <w:rsid w:val="00774ACB"/>
    <w:rsid w:val="00777A29"/>
    <w:rsid w:val="007870E8"/>
    <w:rsid w:val="00787E7B"/>
    <w:rsid w:val="00790669"/>
    <w:rsid w:val="007942F2"/>
    <w:rsid w:val="00794DE2"/>
    <w:rsid w:val="007951C7"/>
    <w:rsid w:val="00795CD9"/>
    <w:rsid w:val="00796AF1"/>
    <w:rsid w:val="007A2FF4"/>
    <w:rsid w:val="007A380D"/>
    <w:rsid w:val="007A4C69"/>
    <w:rsid w:val="007A5CCE"/>
    <w:rsid w:val="007A7E3A"/>
    <w:rsid w:val="007C1E21"/>
    <w:rsid w:val="007C6A80"/>
    <w:rsid w:val="007D135D"/>
    <w:rsid w:val="007D2A99"/>
    <w:rsid w:val="007D7E66"/>
    <w:rsid w:val="007E366E"/>
    <w:rsid w:val="007E3DE6"/>
    <w:rsid w:val="007E3F06"/>
    <w:rsid w:val="007E639B"/>
    <w:rsid w:val="007F37E3"/>
    <w:rsid w:val="007F3AA6"/>
    <w:rsid w:val="007F6F76"/>
    <w:rsid w:val="0080131B"/>
    <w:rsid w:val="008013C3"/>
    <w:rsid w:val="00803979"/>
    <w:rsid w:val="00803CDA"/>
    <w:rsid w:val="008048D6"/>
    <w:rsid w:val="008057E3"/>
    <w:rsid w:val="00806CCE"/>
    <w:rsid w:val="00810259"/>
    <w:rsid w:val="008118BD"/>
    <w:rsid w:val="00812E4A"/>
    <w:rsid w:val="008131FE"/>
    <w:rsid w:val="00814AF2"/>
    <w:rsid w:val="00823982"/>
    <w:rsid w:val="00831CD3"/>
    <w:rsid w:val="00835117"/>
    <w:rsid w:val="00835F88"/>
    <w:rsid w:val="00840E85"/>
    <w:rsid w:val="00841AAC"/>
    <w:rsid w:val="0084491A"/>
    <w:rsid w:val="00847D1F"/>
    <w:rsid w:val="00850CD4"/>
    <w:rsid w:val="0085623F"/>
    <w:rsid w:val="00860318"/>
    <w:rsid w:val="0086181F"/>
    <w:rsid w:val="00862F5E"/>
    <w:rsid w:val="00864E17"/>
    <w:rsid w:val="00866936"/>
    <w:rsid w:val="008670A6"/>
    <w:rsid w:val="008676F6"/>
    <w:rsid w:val="00870F55"/>
    <w:rsid w:val="00871BB2"/>
    <w:rsid w:val="00886A65"/>
    <w:rsid w:val="00897081"/>
    <w:rsid w:val="008A08F4"/>
    <w:rsid w:val="008A2546"/>
    <w:rsid w:val="008B7023"/>
    <w:rsid w:val="008C145C"/>
    <w:rsid w:val="008C19D3"/>
    <w:rsid w:val="008C31DB"/>
    <w:rsid w:val="008C70B3"/>
    <w:rsid w:val="008D0841"/>
    <w:rsid w:val="008D0C6F"/>
    <w:rsid w:val="008E0252"/>
    <w:rsid w:val="008E0844"/>
    <w:rsid w:val="008E0E2A"/>
    <w:rsid w:val="008E13C8"/>
    <w:rsid w:val="008E2812"/>
    <w:rsid w:val="008E37F8"/>
    <w:rsid w:val="008E41CB"/>
    <w:rsid w:val="008E445A"/>
    <w:rsid w:val="008E7FD1"/>
    <w:rsid w:val="008F1BEA"/>
    <w:rsid w:val="008F37C4"/>
    <w:rsid w:val="008F4EC4"/>
    <w:rsid w:val="008F5034"/>
    <w:rsid w:val="008F50A6"/>
    <w:rsid w:val="008F67B9"/>
    <w:rsid w:val="008F7DE0"/>
    <w:rsid w:val="00900DA0"/>
    <w:rsid w:val="00903E6B"/>
    <w:rsid w:val="0090571D"/>
    <w:rsid w:val="00907F2C"/>
    <w:rsid w:val="00914A7E"/>
    <w:rsid w:val="009156B5"/>
    <w:rsid w:val="009157EB"/>
    <w:rsid w:val="00916005"/>
    <w:rsid w:val="0092089C"/>
    <w:rsid w:val="00920A1D"/>
    <w:rsid w:val="00924A15"/>
    <w:rsid w:val="0093125C"/>
    <w:rsid w:val="00934884"/>
    <w:rsid w:val="009368B8"/>
    <w:rsid w:val="00940B33"/>
    <w:rsid w:val="00940B9B"/>
    <w:rsid w:val="009462FB"/>
    <w:rsid w:val="009503D8"/>
    <w:rsid w:val="00965EED"/>
    <w:rsid w:val="0097111E"/>
    <w:rsid w:val="0097177C"/>
    <w:rsid w:val="009719D4"/>
    <w:rsid w:val="00975919"/>
    <w:rsid w:val="009766AA"/>
    <w:rsid w:val="00982DF4"/>
    <w:rsid w:val="00990623"/>
    <w:rsid w:val="00992989"/>
    <w:rsid w:val="0099651F"/>
    <w:rsid w:val="009A0178"/>
    <w:rsid w:val="009A0A10"/>
    <w:rsid w:val="009A1611"/>
    <w:rsid w:val="009A48CB"/>
    <w:rsid w:val="009A57EB"/>
    <w:rsid w:val="009B1268"/>
    <w:rsid w:val="009B3AA0"/>
    <w:rsid w:val="009C0166"/>
    <w:rsid w:val="009C04A5"/>
    <w:rsid w:val="009C0583"/>
    <w:rsid w:val="009C2F1E"/>
    <w:rsid w:val="009C32B8"/>
    <w:rsid w:val="009C577B"/>
    <w:rsid w:val="009D04A1"/>
    <w:rsid w:val="009D1B7B"/>
    <w:rsid w:val="009D65CF"/>
    <w:rsid w:val="009E3AF9"/>
    <w:rsid w:val="009E4A3E"/>
    <w:rsid w:val="009E68B3"/>
    <w:rsid w:val="009E6C42"/>
    <w:rsid w:val="009E7E67"/>
    <w:rsid w:val="009E7F22"/>
    <w:rsid w:val="009F44E9"/>
    <w:rsid w:val="009F7590"/>
    <w:rsid w:val="009F78A2"/>
    <w:rsid w:val="009F7FCC"/>
    <w:rsid w:val="00A00345"/>
    <w:rsid w:val="00A023A6"/>
    <w:rsid w:val="00A030AD"/>
    <w:rsid w:val="00A039D1"/>
    <w:rsid w:val="00A04FE9"/>
    <w:rsid w:val="00A06E50"/>
    <w:rsid w:val="00A06FA6"/>
    <w:rsid w:val="00A07836"/>
    <w:rsid w:val="00A13937"/>
    <w:rsid w:val="00A15BF3"/>
    <w:rsid w:val="00A17852"/>
    <w:rsid w:val="00A22062"/>
    <w:rsid w:val="00A269DE"/>
    <w:rsid w:val="00A30604"/>
    <w:rsid w:val="00A3164A"/>
    <w:rsid w:val="00A3438B"/>
    <w:rsid w:val="00A47798"/>
    <w:rsid w:val="00A47FEB"/>
    <w:rsid w:val="00A52271"/>
    <w:rsid w:val="00A540B8"/>
    <w:rsid w:val="00A56650"/>
    <w:rsid w:val="00A56F09"/>
    <w:rsid w:val="00A60ADF"/>
    <w:rsid w:val="00A6620F"/>
    <w:rsid w:val="00A67A03"/>
    <w:rsid w:val="00A70E3D"/>
    <w:rsid w:val="00A748D0"/>
    <w:rsid w:val="00A772D9"/>
    <w:rsid w:val="00A77A6E"/>
    <w:rsid w:val="00A82122"/>
    <w:rsid w:val="00A82E74"/>
    <w:rsid w:val="00A82EB2"/>
    <w:rsid w:val="00A837F2"/>
    <w:rsid w:val="00A860D4"/>
    <w:rsid w:val="00A86478"/>
    <w:rsid w:val="00A87C3B"/>
    <w:rsid w:val="00A91F6E"/>
    <w:rsid w:val="00A94243"/>
    <w:rsid w:val="00A97F0D"/>
    <w:rsid w:val="00AA0F7C"/>
    <w:rsid w:val="00AA62A8"/>
    <w:rsid w:val="00AA69DC"/>
    <w:rsid w:val="00AA7437"/>
    <w:rsid w:val="00AB0D89"/>
    <w:rsid w:val="00AB3CC7"/>
    <w:rsid w:val="00AB49C4"/>
    <w:rsid w:val="00AC491F"/>
    <w:rsid w:val="00AC493B"/>
    <w:rsid w:val="00AC7720"/>
    <w:rsid w:val="00AD45A0"/>
    <w:rsid w:val="00AD4EDF"/>
    <w:rsid w:val="00AE1E79"/>
    <w:rsid w:val="00AE2718"/>
    <w:rsid w:val="00AE449E"/>
    <w:rsid w:val="00AE72CE"/>
    <w:rsid w:val="00AE7B0C"/>
    <w:rsid w:val="00AF6320"/>
    <w:rsid w:val="00AF645B"/>
    <w:rsid w:val="00B0103F"/>
    <w:rsid w:val="00B02E0E"/>
    <w:rsid w:val="00B03F17"/>
    <w:rsid w:val="00B06858"/>
    <w:rsid w:val="00B1562E"/>
    <w:rsid w:val="00B16E93"/>
    <w:rsid w:val="00B21BC1"/>
    <w:rsid w:val="00B27C9E"/>
    <w:rsid w:val="00B27CBD"/>
    <w:rsid w:val="00B3017A"/>
    <w:rsid w:val="00B404A4"/>
    <w:rsid w:val="00B40D3F"/>
    <w:rsid w:val="00B4177F"/>
    <w:rsid w:val="00B418A4"/>
    <w:rsid w:val="00B42F05"/>
    <w:rsid w:val="00B44783"/>
    <w:rsid w:val="00B5188B"/>
    <w:rsid w:val="00B52E20"/>
    <w:rsid w:val="00B5453C"/>
    <w:rsid w:val="00B55BB7"/>
    <w:rsid w:val="00B57A1D"/>
    <w:rsid w:val="00B60C43"/>
    <w:rsid w:val="00B619EE"/>
    <w:rsid w:val="00B644BB"/>
    <w:rsid w:val="00B6656B"/>
    <w:rsid w:val="00B72E46"/>
    <w:rsid w:val="00B75599"/>
    <w:rsid w:val="00B75C8D"/>
    <w:rsid w:val="00B7624C"/>
    <w:rsid w:val="00B823F3"/>
    <w:rsid w:val="00B82E49"/>
    <w:rsid w:val="00B83292"/>
    <w:rsid w:val="00B852DE"/>
    <w:rsid w:val="00B90FFA"/>
    <w:rsid w:val="00B91760"/>
    <w:rsid w:val="00B97075"/>
    <w:rsid w:val="00B97738"/>
    <w:rsid w:val="00BA738B"/>
    <w:rsid w:val="00BB49FD"/>
    <w:rsid w:val="00BC4325"/>
    <w:rsid w:val="00BC6126"/>
    <w:rsid w:val="00BD211C"/>
    <w:rsid w:val="00BD31B2"/>
    <w:rsid w:val="00BD41F0"/>
    <w:rsid w:val="00BD4EFE"/>
    <w:rsid w:val="00BD61F5"/>
    <w:rsid w:val="00BE0D87"/>
    <w:rsid w:val="00BE12E3"/>
    <w:rsid w:val="00BE22C5"/>
    <w:rsid w:val="00BE288B"/>
    <w:rsid w:val="00BE28BD"/>
    <w:rsid w:val="00BE2F03"/>
    <w:rsid w:val="00BE38D2"/>
    <w:rsid w:val="00BF2FA7"/>
    <w:rsid w:val="00C0085A"/>
    <w:rsid w:val="00C01B40"/>
    <w:rsid w:val="00C04A5E"/>
    <w:rsid w:val="00C05565"/>
    <w:rsid w:val="00C058D4"/>
    <w:rsid w:val="00C06C3F"/>
    <w:rsid w:val="00C07C76"/>
    <w:rsid w:val="00C14179"/>
    <w:rsid w:val="00C16F18"/>
    <w:rsid w:val="00C20C40"/>
    <w:rsid w:val="00C218BA"/>
    <w:rsid w:val="00C2202B"/>
    <w:rsid w:val="00C31238"/>
    <w:rsid w:val="00C3304D"/>
    <w:rsid w:val="00C331D4"/>
    <w:rsid w:val="00C34019"/>
    <w:rsid w:val="00C3559B"/>
    <w:rsid w:val="00C355E2"/>
    <w:rsid w:val="00C420E6"/>
    <w:rsid w:val="00C43266"/>
    <w:rsid w:val="00C45B62"/>
    <w:rsid w:val="00C45C1E"/>
    <w:rsid w:val="00C45C69"/>
    <w:rsid w:val="00C45FE8"/>
    <w:rsid w:val="00C464F6"/>
    <w:rsid w:val="00C47001"/>
    <w:rsid w:val="00C51155"/>
    <w:rsid w:val="00C53962"/>
    <w:rsid w:val="00C560BA"/>
    <w:rsid w:val="00C57C37"/>
    <w:rsid w:val="00C60022"/>
    <w:rsid w:val="00C62D90"/>
    <w:rsid w:val="00C641F2"/>
    <w:rsid w:val="00C6440B"/>
    <w:rsid w:val="00C66657"/>
    <w:rsid w:val="00C74AEB"/>
    <w:rsid w:val="00C755A5"/>
    <w:rsid w:val="00C76955"/>
    <w:rsid w:val="00C76A56"/>
    <w:rsid w:val="00C82B7F"/>
    <w:rsid w:val="00C8308C"/>
    <w:rsid w:val="00C8346F"/>
    <w:rsid w:val="00C8465C"/>
    <w:rsid w:val="00C85D4E"/>
    <w:rsid w:val="00C85F75"/>
    <w:rsid w:val="00CA02C3"/>
    <w:rsid w:val="00CA275F"/>
    <w:rsid w:val="00CA2ADD"/>
    <w:rsid w:val="00CA5A17"/>
    <w:rsid w:val="00CA5F18"/>
    <w:rsid w:val="00CA66A5"/>
    <w:rsid w:val="00CA71FA"/>
    <w:rsid w:val="00CB3EFA"/>
    <w:rsid w:val="00CB427A"/>
    <w:rsid w:val="00CB578B"/>
    <w:rsid w:val="00CC07D2"/>
    <w:rsid w:val="00CD1EEA"/>
    <w:rsid w:val="00CD4CCF"/>
    <w:rsid w:val="00CD5AB2"/>
    <w:rsid w:val="00CD74C1"/>
    <w:rsid w:val="00CE1579"/>
    <w:rsid w:val="00CE377E"/>
    <w:rsid w:val="00CE5349"/>
    <w:rsid w:val="00CF0AA2"/>
    <w:rsid w:val="00CF20E4"/>
    <w:rsid w:val="00CF265C"/>
    <w:rsid w:val="00CF4812"/>
    <w:rsid w:val="00CF6DB1"/>
    <w:rsid w:val="00CF6FC7"/>
    <w:rsid w:val="00CF78B8"/>
    <w:rsid w:val="00D01CC3"/>
    <w:rsid w:val="00D01D39"/>
    <w:rsid w:val="00D10C29"/>
    <w:rsid w:val="00D10D84"/>
    <w:rsid w:val="00D13D5B"/>
    <w:rsid w:val="00D17180"/>
    <w:rsid w:val="00D228D2"/>
    <w:rsid w:val="00D23F5A"/>
    <w:rsid w:val="00D245EF"/>
    <w:rsid w:val="00D249ED"/>
    <w:rsid w:val="00D25EF7"/>
    <w:rsid w:val="00D27076"/>
    <w:rsid w:val="00D276FF"/>
    <w:rsid w:val="00D317C3"/>
    <w:rsid w:val="00D36ABA"/>
    <w:rsid w:val="00D40823"/>
    <w:rsid w:val="00D420BD"/>
    <w:rsid w:val="00D516B4"/>
    <w:rsid w:val="00D55F18"/>
    <w:rsid w:val="00D568FD"/>
    <w:rsid w:val="00D569EB"/>
    <w:rsid w:val="00D612B9"/>
    <w:rsid w:val="00D62877"/>
    <w:rsid w:val="00D631BE"/>
    <w:rsid w:val="00D67FB6"/>
    <w:rsid w:val="00D72FE3"/>
    <w:rsid w:val="00D7579D"/>
    <w:rsid w:val="00D776C3"/>
    <w:rsid w:val="00D81BC8"/>
    <w:rsid w:val="00D841B3"/>
    <w:rsid w:val="00D90F44"/>
    <w:rsid w:val="00D93D73"/>
    <w:rsid w:val="00D94DBC"/>
    <w:rsid w:val="00D97C81"/>
    <w:rsid w:val="00DA2559"/>
    <w:rsid w:val="00DA28B4"/>
    <w:rsid w:val="00DB7716"/>
    <w:rsid w:val="00DC0E42"/>
    <w:rsid w:val="00DC1F43"/>
    <w:rsid w:val="00DC2C5F"/>
    <w:rsid w:val="00DC633C"/>
    <w:rsid w:val="00DC7090"/>
    <w:rsid w:val="00DD034F"/>
    <w:rsid w:val="00DD1DA8"/>
    <w:rsid w:val="00DD21D5"/>
    <w:rsid w:val="00DD45A9"/>
    <w:rsid w:val="00DD45FD"/>
    <w:rsid w:val="00DD74CB"/>
    <w:rsid w:val="00DD7D67"/>
    <w:rsid w:val="00DE13C4"/>
    <w:rsid w:val="00DE6CCA"/>
    <w:rsid w:val="00DF07DB"/>
    <w:rsid w:val="00DF120B"/>
    <w:rsid w:val="00DF20BA"/>
    <w:rsid w:val="00E00570"/>
    <w:rsid w:val="00E014FB"/>
    <w:rsid w:val="00E01891"/>
    <w:rsid w:val="00E01A72"/>
    <w:rsid w:val="00E027C4"/>
    <w:rsid w:val="00E02FC1"/>
    <w:rsid w:val="00E11938"/>
    <w:rsid w:val="00E154EB"/>
    <w:rsid w:val="00E1659C"/>
    <w:rsid w:val="00E17513"/>
    <w:rsid w:val="00E2057A"/>
    <w:rsid w:val="00E22AEF"/>
    <w:rsid w:val="00E26585"/>
    <w:rsid w:val="00E26FE4"/>
    <w:rsid w:val="00E275A3"/>
    <w:rsid w:val="00E302A1"/>
    <w:rsid w:val="00E30F84"/>
    <w:rsid w:val="00E40BE0"/>
    <w:rsid w:val="00E41CE4"/>
    <w:rsid w:val="00E50917"/>
    <w:rsid w:val="00E5098C"/>
    <w:rsid w:val="00E513CE"/>
    <w:rsid w:val="00E53691"/>
    <w:rsid w:val="00E54E7F"/>
    <w:rsid w:val="00E604E4"/>
    <w:rsid w:val="00E607A8"/>
    <w:rsid w:val="00E613E5"/>
    <w:rsid w:val="00E62B1C"/>
    <w:rsid w:val="00E66C72"/>
    <w:rsid w:val="00E71938"/>
    <w:rsid w:val="00E72EF0"/>
    <w:rsid w:val="00E73430"/>
    <w:rsid w:val="00E73767"/>
    <w:rsid w:val="00E7472D"/>
    <w:rsid w:val="00E903D7"/>
    <w:rsid w:val="00E90510"/>
    <w:rsid w:val="00E90F39"/>
    <w:rsid w:val="00E94A19"/>
    <w:rsid w:val="00E95168"/>
    <w:rsid w:val="00E951B6"/>
    <w:rsid w:val="00E95272"/>
    <w:rsid w:val="00EA0214"/>
    <w:rsid w:val="00EA13ED"/>
    <w:rsid w:val="00EA4E15"/>
    <w:rsid w:val="00EA7816"/>
    <w:rsid w:val="00EB1541"/>
    <w:rsid w:val="00EB1AC1"/>
    <w:rsid w:val="00EB3A24"/>
    <w:rsid w:val="00EB437C"/>
    <w:rsid w:val="00EB4686"/>
    <w:rsid w:val="00EB5EBB"/>
    <w:rsid w:val="00EC0585"/>
    <w:rsid w:val="00EC0FEE"/>
    <w:rsid w:val="00ED09E6"/>
    <w:rsid w:val="00ED1169"/>
    <w:rsid w:val="00ED45E7"/>
    <w:rsid w:val="00ED57B1"/>
    <w:rsid w:val="00EE0DFF"/>
    <w:rsid w:val="00EE13EB"/>
    <w:rsid w:val="00EE18FE"/>
    <w:rsid w:val="00EE5B0B"/>
    <w:rsid w:val="00EF0179"/>
    <w:rsid w:val="00EF2112"/>
    <w:rsid w:val="00EF544F"/>
    <w:rsid w:val="00EF5A3E"/>
    <w:rsid w:val="00EF7115"/>
    <w:rsid w:val="00F001DD"/>
    <w:rsid w:val="00F003BC"/>
    <w:rsid w:val="00F028AE"/>
    <w:rsid w:val="00F03116"/>
    <w:rsid w:val="00F10BAE"/>
    <w:rsid w:val="00F137BC"/>
    <w:rsid w:val="00F13B8C"/>
    <w:rsid w:val="00F2025A"/>
    <w:rsid w:val="00F20348"/>
    <w:rsid w:val="00F2417D"/>
    <w:rsid w:val="00F32632"/>
    <w:rsid w:val="00F3750A"/>
    <w:rsid w:val="00F44E68"/>
    <w:rsid w:val="00F4732A"/>
    <w:rsid w:val="00F47CC6"/>
    <w:rsid w:val="00F5278A"/>
    <w:rsid w:val="00F53290"/>
    <w:rsid w:val="00F532BE"/>
    <w:rsid w:val="00F56998"/>
    <w:rsid w:val="00F57148"/>
    <w:rsid w:val="00F57AC7"/>
    <w:rsid w:val="00F6096A"/>
    <w:rsid w:val="00F61D90"/>
    <w:rsid w:val="00F62837"/>
    <w:rsid w:val="00F63629"/>
    <w:rsid w:val="00F65C52"/>
    <w:rsid w:val="00F67D41"/>
    <w:rsid w:val="00F70520"/>
    <w:rsid w:val="00F70924"/>
    <w:rsid w:val="00F7525F"/>
    <w:rsid w:val="00F762A6"/>
    <w:rsid w:val="00F774C7"/>
    <w:rsid w:val="00F77BD4"/>
    <w:rsid w:val="00F816D6"/>
    <w:rsid w:val="00F932A3"/>
    <w:rsid w:val="00F93DD8"/>
    <w:rsid w:val="00FA022E"/>
    <w:rsid w:val="00FA2F3A"/>
    <w:rsid w:val="00FA720A"/>
    <w:rsid w:val="00FA7B03"/>
    <w:rsid w:val="00FB0D07"/>
    <w:rsid w:val="00FB48BD"/>
    <w:rsid w:val="00FB4A08"/>
    <w:rsid w:val="00FC0509"/>
    <w:rsid w:val="00FC2565"/>
    <w:rsid w:val="00FC3170"/>
    <w:rsid w:val="00FC45DC"/>
    <w:rsid w:val="00FC550C"/>
    <w:rsid w:val="00FC70BD"/>
    <w:rsid w:val="00FD03DF"/>
    <w:rsid w:val="00FD16C4"/>
    <w:rsid w:val="00FD1730"/>
    <w:rsid w:val="00FD798D"/>
    <w:rsid w:val="00FE1EB0"/>
    <w:rsid w:val="00FE3361"/>
    <w:rsid w:val="00FE3581"/>
    <w:rsid w:val="00FE3E4A"/>
    <w:rsid w:val="00FE5B29"/>
    <w:rsid w:val="00FE6FEC"/>
    <w:rsid w:val="00FE7B23"/>
    <w:rsid w:val="00FF04E9"/>
    <w:rsid w:val="00FF2B2F"/>
    <w:rsid w:val="00FF2F94"/>
    <w:rsid w:val="00FF618B"/>
    <w:rsid w:val="4EEC3094"/>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5D8A9C"/>
  <w15:docId w15:val="{AA635B85-E51F-4E1A-805B-18971038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iPriority="0" w:unhideWhenUsed="1"/>
    <w:lsdException w:name="header" w:semiHidden="1" w:uiPriority="0"/>
    <w:lsdException w:name="footer" w:semiHidden="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lsdException w:name="endnote reference" w:semiHidden="1" w:uiPriority="0"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nhideWhenUsed="1"/>
    <w:lsdException w:name="Block Text" w:semiHidden="1" w:unhideWhenUsed="1"/>
    <w:lsdException w:name="Hyperlink" w:semiHidden="1" w:uiPriority="0"/>
    <w:lsdException w:name="FollowedHyperlink" w:semiHidden="1" w:uiPriority="0"/>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semiHidden/>
    <w:pPr>
      <w:widowControl/>
      <w:suppressAutoHyphens/>
      <w:ind w:firstLine="360"/>
      <w:jc w:val="both"/>
    </w:pPr>
    <w:rPr>
      <w:rFonts w:eastAsia="Times New Roman"/>
      <w:kern w:val="14"/>
      <w:lang w:val="en-US"/>
    </w:rPr>
  </w:style>
  <w:style w:type="paragraph" w:styleId="BodyTextIndent2">
    <w:name w:val="Body Text Indent 2"/>
    <w:basedOn w:val="Normal"/>
    <w:semiHidden/>
    <w:pPr>
      <w:ind w:firstLine="240"/>
    </w:pPr>
  </w:style>
  <w:style w:type="paragraph" w:styleId="Caption">
    <w:name w:val="caption"/>
    <w:basedOn w:val="Normal"/>
    <w:next w:val="Normal"/>
    <w:qFormat/>
    <w:pPr>
      <w:keepLines/>
      <w:spacing w:before="200" w:after="240" w:line="200" w:lineRule="exact"/>
    </w:pPr>
    <w:rPr>
      <w:sz w:val="16"/>
    </w:rPr>
  </w:style>
  <w:style w:type="character" w:styleId="CommentReference">
    <w:name w:val="annotation reference"/>
    <w:semiHidden/>
    <w:unhideWhenUsed/>
    <w:rPr>
      <w:sz w:val="16"/>
      <w:szCs w:val="16"/>
    </w:rPr>
  </w:style>
  <w:style w:type="paragraph" w:styleId="CommentText">
    <w:name w:val="annotation text"/>
    <w:basedOn w:val="Normal"/>
    <w:unhideWhenUsed/>
  </w:style>
  <w:style w:type="paragraph" w:styleId="CommentSubject">
    <w:name w:val="annotation subject"/>
    <w:basedOn w:val="CommentText"/>
    <w:next w:val="CommentText"/>
    <w:semiHidden/>
    <w:unhideWhenUsed/>
    <w:rPr>
      <w:b/>
      <w:bCs/>
    </w:rPr>
  </w:style>
  <w:style w:type="character" w:styleId="EndnoteReference">
    <w:name w:val="endnote reference"/>
    <w:semiHidden/>
    <w:qFormat/>
    <w:rPr>
      <w:vertAlign w:val="superscript"/>
    </w:rPr>
  </w:style>
  <w:style w:type="character" w:styleId="FollowedHyperlink">
    <w:name w:val="FollowedHyperlink"/>
    <w:semiHidden/>
    <w:rPr>
      <w:color w:val="800080"/>
      <w:u w:val="single"/>
    </w:rPr>
  </w:style>
  <w:style w:type="paragraph" w:styleId="Footer">
    <w:name w:val="footer"/>
    <w:basedOn w:val="Header"/>
    <w:link w:val="FooterChar"/>
    <w:uiPriority w:val="99"/>
    <w:pPr>
      <w:tabs>
        <w:tab w:val="right" w:pos="10080"/>
      </w:tabs>
    </w:pPr>
    <w:rPr>
      <w:i w:val="0"/>
    </w:rPr>
  </w:style>
  <w:style w:type="paragraph" w:styleId="Header">
    <w:name w:val="header"/>
    <w:link w:val="HeaderChar"/>
    <w:semiHidden/>
    <w:pPr>
      <w:tabs>
        <w:tab w:val="center" w:pos="4706"/>
        <w:tab w:val="right" w:pos="9356"/>
      </w:tabs>
      <w:spacing w:before="100" w:beforeAutospacing="1" w:after="240" w:line="200" w:lineRule="atLeast"/>
    </w:pPr>
    <w:rPr>
      <w:i/>
      <w:sz w:val="16"/>
      <w:lang w:val="en-US" w:eastAsia="en-US"/>
    </w:rPr>
  </w:style>
  <w:style w:type="character" w:styleId="FootnoteReference">
    <w:name w:val="footnote reference"/>
    <w:semiHidden/>
    <w:rPr>
      <w:vertAlign w:val="superscript"/>
    </w:rPr>
  </w:style>
  <w:style w:type="paragraph" w:styleId="FootnoteText">
    <w:name w:val="footnote text"/>
    <w:basedOn w:val="Normal"/>
    <w:link w:val="FootnoteTextChar"/>
    <w:semiHidden/>
    <w:qFormat/>
    <w:rPr>
      <w:rFonts w:ascii="Univers" w:hAnsi="Univers"/>
    </w:rPr>
  </w:style>
  <w:style w:type="character" w:styleId="Hyperlink">
    <w:name w:val="Hyperlink"/>
    <w:semiHidden/>
    <w:rPr>
      <w:color w:val="auto"/>
      <w:sz w:val="16"/>
      <w:u w:val="none"/>
    </w:rPr>
  </w:style>
  <w:style w:type="paragraph" w:styleId="NormalWeb">
    <w:name w:val="Normal (Web)"/>
    <w:basedOn w:val="Normal"/>
    <w:uiPriority w:val="99"/>
    <w:unhideWhenUsed/>
    <w:qFormat/>
    <w:pPr>
      <w:widowControl/>
      <w:spacing w:before="100" w:beforeAutospacing="1" w:after="100" w:afterAutospacing="1"/>
    </w:pPr>
    <w:rPr>
      <w:rFonts w:eastAsia="Times New Roman"/>
      <w:sz w:val="24"/>
      <w:szCs w:val="24"/>
      <w:lang w:val="en-US"/>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2">
    <w:name w:val="Table Grid 2"/>
    <w:basedOn w:val="TableNormal"/>
    <w:rPr>
      <w:rFonts w:eastAsia="Times New Roman"/>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paragraph" w:customStyle="1" w:styleId="Els-1storder-head">
    <w:name w:val="Els-1storder-head"/>
    <w:next w:val="Els-body-text"/>
    <w:pPr>
      <w:keepNext/>
      <w:numPr>
        <w:numId w:val="1"/>
      </w:numPr>
      <w:tabs>
        <w:tab w:val="left" w:pos="360"/>
      </w:tabs>
      <w:suppressAutoHyphens/>
      <w:spacing w:before="240" w:after="240" w:line="240" w:lineRule="exact"/>
    </w:pPr>
    <w:rPr>
      <w:b/>
      <w:lang w:val="en-US" w:eastAsia="en-US"/>
    </w:rPr>
  </w:style>
  <w:style w:type="paragraph" w:customStyle="1" w:styleId="Els-body-text">
    <w:name w:val="Els-body-text"/>
    <w:qFormat/>
    <w:pPr>
      <w:spacing w:line="240" w:lineRule="exact"/>
      <w:ind w:firstLine="238"/>
      <w:jc w:val="both"/>
    </w:pPr>
    <w:rPr>
      <w:lang w:val="en-US" w:eastAsia="en-US"/>
    </w:rPr>
  </w:style>
  <w:style w:type="paragraph" w:customStyle="1" w:styleId="Els-2ndorder-head">
    <w:name w:val="Els-2ndorder-head"/>
    <w:next w:val="Els-body-text"/>
    <w:pPr>
      <w:keepNext/>
      <w:numPr>
        <w:ilvl w:val="1"/>
        <w:numId w:val="1"/>
      </w:numPr>
      <w:tabs>
        <w:tab w:val="left" w:pos="360"/>
      </w:tabs>
      <w:suppressAutoHyphens/>
      <w:spacing w:before="240" w:after="240" w:line="240" w:lineRule="exact"/>
    </w:pPr>
    <w:rPr>
      <w:i/>
      <w:lang w:val="en-US" w:eastAsia="en-US"/>
    </w:rPr>
  </w:style>
  <w:style w:type="paragraph" w:customStyle="1" w:styleId="Els-3rdorder-head">
    <w:name w:val="Els-3rdorder-head"/>
    <w:next w:val="Els-body-text"/>
    <w:qFormat/>
    <w:pPr>
      <w:keepNext/>
      <w:numPr>
        <w:ilvl w:val="2"/>
        <w:numId w:val="1"/>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1"/>
      </w:numPr>
      <w:suppressAutoHyphens/>
      <w:spacing w:before="240" w:line="240" w:lineRule="exact"/>
    </w:pPr>
    <w:rPr>
      <w:i/>
      <w:lang w:val="en-US" w:eastAsia="en-US"/>
    </w:rPr>
  </w:style>
  <w:style w:type="paragraph" w:customStyle="1" w:styleId="Els-Abstract-head">
    <w:name w:val="Els-Abstract-head"/>
    <w:next w:val="Normal"/>
    <w:qFormat/>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qFormat/>
    <w:pPr>
      <w:spacing w:line="220" w:lineRule="exact"/>
      <w:jc w:val="both"/>
    </w:pPr>
    <w:rPr>
      <w:sz w:val="18"/>
      <w:lang w:val="en-US" w:eastAsia="en-US"/>
    </w:rPr>
  </w:style>
  <w:style w:type="paragraph" w:customStyle="1" w:styleId="Els-acknowledgement">
    <w:name w:val="Els-acknowledgement"/>
    <w:next w:val="Normal"/>
    <w:qFormat/>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sz w:val="16"/>
      <w:lang w:val="en-US"/>
    </w:rPr>
  </w:style>
  <w:style w:type="paragraph" w:customStyle="1" w:styleId="Els-Affiliation">
    <w:name w:val="Els-Affiliation"/>
    <w:next w:val="Els-Abstract-head"/>
    <w:qFormat/>
    <w:pPr>
      <w:suppressAutoHyphens/>
      <w:spacing w:line="200" w:lineRule="exact"/>
      <w:jc w:val="center"/>
    </w:pPr>
    <w:rPr>
      <w:i/>
      <w:sz w:val="16"/>
      <w:lang w:val="en-US" w:eastAsia="en-US"/>
    </w:rPr>
  </w:style>
  <w:style w:type="paragraph" w:customStyle="1" w:styleId="Els-appendixhead">
    <w:name w:val="Els-appendixhead"/>
    <w:next w:val="Normal"/>
    <w:qFormat/>
    <w:pPr>
      <w:numPr>
        <w:numId w:val="2"/>
      </w:numPr>
      <w:spacing w:before="480" w:after="240" w:line="220" w:lineRule="exact"/>
    </w:pPr>
    <w:rPr>
      <w:b/>
      <w:lang w:val="en-US" w:eastAsia="en-US"/>
    </w:rPr>
  </w:style>
  <w:style w:type="paragraph" w:customStyle="1" w:styleId="Els-appendixsubhead">
    <w:name w:val="Els-appendixsubhead"/>
    <w:next w:val="Normal"/>
    <w:qFormat/>
    <w:pPr>
      <w:numPr>
        <w:ilvl w:val="1"/>
        <w:numId w:val="3"/>
      </w:numPr>
      <w:spacing w:before="240" w:after="240" w:line="220" w:lineRule="exact"/>
      <w:ind w:left="0"/>
    </w:pPr>
    <w:rPr>
      <w:i/>
      <w:lang w:val="en-US" w:eastAsia="en-US"/>
    </w:rPr>
  </w:style>
  <w:style w:type="paragraph" w:customStyle="1" w:styleId="Els-Author">
    <w:name w:val="Els-Author"/>
    <w:next w:val="Normal"/>
    <w:pPr>
      <w:keepNext/>
      <w:suppressAutoHyphens/>
      <w:spacing w:after="160" w:line="300" w:lineRule="exact"/>
      <w:jc w:val="center"/>
    </w:pPr>
    <w:rPr>
      <w:sz w:val="26"/>
      <w:lang w:val="en-US" w:eastAsia="en-US"/>
    </w:rPr>
  </w:style>
  <w:style w:type="paragraph" w:customStyle="1" w:styleId="Els-bulletlist">
    <w:name w:val="Els-bulletlist"/>
    <w:basedOn w:val="Els-body-text"/>
    <w:qFormat/>
    <w:pPr>
      <w:numPr>
        <w:numId w:val="4"/>
      </w:numPr>
      <w:tabs>
        <w:tab w:val="left" w:pos="240"/>
      </w:tabs>
      <w:jc w:val="left"/>
    </w:pPr>
  </w:style>
  <w:style w:type="paragraph" w:customStyle="1" w:styleId="Els-caption">
    <w:name w:val="Els-caption"/>
    <w:qFormat/>
    <w:pPr>
      <w:keepLines/>
      <w:spacing w:before="200" w:after="240" w:line="200" w:lineRule="exact"/>
    </w:pPr>
    <w:rPr>
      <w:sz w:val="16"/>
      <w:lang w:val="en-US" w:eastAsia="en-US"/>
    </w:rPr>
  </w:style>
  <w:style w:type="paragraph" w:customStyle="1" w:styleId="Els-chem-equation">
    <w:name w:val="Els-chem-equation"/>
    <w:next w:val="Els-body-text"/>
    <w:qFormat/>
    <w:pPr>
      <w:tabs>
        <w:tab w:val="right" w:pos="4320"/>
        <w:tab w:val="right" w:pos="9120"/>
      </w:tabs>
      <w:spacing w:before="120" w:after="120" w:line="220" w:lineRule="exact"/>
    </w:pPr>
    <w:rPr>
      <w:sz w:val="18"/>
      <w:lang w:val="en-US" w:eastAsia="en-US"/>
    </w:rPr>
  </w:style>
  <w:style w:type="paragraph" w:customStyle="1" w:styleId="Els-collaboration">
    <w:name w:val="Els-collaboration"/>
    <w:basedOn w:val="Els-Author"/>
    <w:qFormat/>
    <w:pPr>
      <w:jc w:val="right"/>
    </w:pPr>
  </w:style>
  <w:style w:type="paragraph" w:customStyle="1" w:styleId="Els-collaboration-affiliation">
    <w:name w:val="Els-collaboration-affiliation"/>
    <w:basedOn w:val="Els-collaboration"/>
    <w:qFormat/>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Normal"/>
    <w:qFormat/>
    <w:pPr>
      <w:spacing w:before="120" w:after="400" w:line="200" w:lineRule="exact"/>
      <w:jc w:val="center"/>
    </w:pPr>
    <w:rPr>
      <w:sz w:val="16"/>
      <w:lang w:val="en-US" w:eastAsia="en-US"/>
    </w:rPr>
  </w:style>
  <w:style w:type="paragraph" w:customStyle="1" w:styleId="Els-journal-logo">
    <w:name w:val="Els-journal-logo"/>
    <w:qFormat/>
    <w:pPr>
      <w:pBdr>
        <w:top w:val="thinThickLargeGap" w:sz="12" w:space="0" w:color="auto"/>
        <w:bottom w:val="thickThinLargeGap" w:sz="12" w:space="0" w:color="auto"/>
      </w:pBdr>
    </w:pPr>
    <w:rPr>
      <w:rFonts w:ascii="Helvetica" w:hAnsi="Helvetica"/>
      <w:b/>
      <w:sz w:val="24"/>
      <w:lang w:val="en-US" w:eastAsia="en-US"/>
    </w:rPr>
  </w:style>
  <w:style w:type="paragraph" w:customStyle="1" w:styleId="Els-keywords">
    <w:name w:val="Els-keywords"/>
    <w:next w:val="Normal"/>
    <w:qFormat/>
    <w:pPr>
      <w:pBdr>
        <w:bottom w:val="single" w:sz="4" w:space="10" w:color="auto"/>
      </w:pBdr>
      <w:spacing w:after="200" w:line="200" w:lineRule="exact"/>
    </w:pPr>
    <w:rPr>
      <w:sz w:val="16"/>
      <w:lang w:val="en-US" w:eastAsia="en-US"/>
    </w:rPr>
  </w:style>
  <w:style w:type="paragraph" w:customStyle="1" w:styleId="Els-numlist">
    <w:name w:val="Els-numlist"/>
    <w:basedOn w:val="Els-body-text"/>
    <w:qFormat/>
    <w:pPr>
      <w:numPr>
        <w:numId w:val="5"/>
      </w:numPr>
      <w:tabs>
        <w:tab w:val="left" w:pos="240"/>
      </w:tabs>
      <w:ind w:left="480"/>
      <w:jc w:val="left"/>
    </w:pPr>
  </w:style>
  <w:style w:type="paragraph" w:customStyle="1" w:styleId="Els-reference">
    <w:name w:val="Els-reference"/>
    <w:qFormat/>
    <w:pPr>
      <w:tabs>
        <w:tab w:val="left" w:pos="312"/>
      </w:tabs>
      <w:spacing w:line="200" w:lineRule="exact"/>
      <w:ind w:left="312" w:hanging="312"/>
    </w:pPr>
    <w:rPr>
      <w:sz w:val="16"/>
      <w:lang w:val="en-US" w:eastAsia="en-US"/>
    </w:rPr>
  </w:style>
  <w:style w:type="paragraph" w:customStyle="1" w:styleId="Els-reference-head">
    <w:name w:val="Els-reference-head"/>
    <w:next w:val="Els-reference"/>
    <w:qFormat/>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qFormat/>
    <w:pPr>
      <w:suppressAutoHyphens/>
      <w:spacing w:after="240" w:line="400" w:lineRule="exact"/>
      <w:jc w:val="center"/>
    </w:pPr>
    <w:rPr>
      <w:sz w:val="34"/>
      <w:lang w:val="en-US" w:eastAsia="en-US"/>
    </w:rPr>
  </w:style>
  <w:style w:type="character" w:customStyle="1" w:styleId="MTEquationSection">
    <w:name w:val="MTEquationSection"/>
    <w:rPr>
      <w:color w:val="FF0000"/>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customStyle="1" w:styleId="Els-1storder-headChar">
    <w:name w:val="Els-1storder-head Char"/>
    <w:rPr>
      <w:b/>
      <w:lang w:val="en-US" w:eastAsia="en-US" w:bidi="ar-SA"/>
    </w:rPr>
  </w:style>
  <w:style w:type="character" w:customStyle="1" w:styleId="BalloonTextChar">
    <w:name w:val="Balloon Text Char"/>
    <w:rPr>
      <w:rFonts w:ascii="Tahoma" w:hAnsi="Tahoma" w:cs="Tahoma"/>
      <w:sz w:val="16"/>
      <w:szCs w:val="16"/>
      <w:lang w:eastAsia="en-US"/>
    </w:rPr>
  </w:style>
  <w:style w:type="character" w:customStyle="1" w:styleId="CommentTextChar">
    <w:name w:val="Comment Text Char"/>
    <w:semiHidden/>
    <w:rPr>
      <w:lang w:val="en-GB"/>
    </w:rPr>
  </w:style>
  <w:style w:type="character" w:customStyle="1" w:styleId="CommentSubjectChar">
    <w:name w:val="Comment Subject Char"/>
    <w:semiHidden/>
    <w:rPr>
      <w:b/>
      <w:bCs/>
      <w:lang w:val="en-GB"/>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character" w:styleId="PlaceholderText">
    <w:name w:val="Placeholder Text"/>
    <w:basedOn w:val="DefaultParagraphFont"/>
    <w:uiPriority w:val="99"/>
    <w:semiHidden/>
    <w:rPr>
      <w:color w:val="808080"/>
    </w:rPr>
  </w:style>
  <w:style w:type="character" w:customStyle="1" w:styleId="BodyTextIndentChar">
    <w:name w:val="Body Text Indent Char"/>
    <w:basedOn w:val="DefaultParagraphFont"/>
    <w:link w:val="BodyTextIndent"/>
    <w:semiHidden/>
    <w:rPr>
      <w:rFonts w:eastAsia="Times New Roman"/>
      <w:kern w:val="14"/>
      <w:lang w:val="en-US" w:eastAsia="en-US"/>
    </w:r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semiHidden/>
    <w:rPr>
      <w:i/>
      <w:sz w:val="16"/>
      <w:lang w:val="en-US" w:eastAsia="en-US"/>
    </w:rPr>
  </w:style>
  <w:style w:type="paragraph" w:customStyle="1" w:styleId="Default">
    <w:name w:val="Default"/>
    <w:pPr>
      <w:autoSpaceDE w:val="0"/>
      <w:autoSpaceDN w:val="0"/>
      <w:adjustRightInd w:val="0"/>
    </w:pPr>
    <w:rPr>
      <w:rFonts w:ascii="BIPPN M+ Gulliver" w:hAnsi="BIPPN M+ Gulliver" w:cs="BIPPN M+ Gulliver"/>
      <w:color w:val="000000"/>
      <w:sz w:val="24"/>
      <w:szCs w:val="24"/>
      <w:lang w:val="en-US" w:eastAsia="en-I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odyTextChar">
    <w:name w:val="Body Text Char"/>
    <w:basedOn w:val="DefaultParagraphFont"/>
    <w:link w:val="BodyText"/>
    <w:uiPriority w:val="99"/>
    <w:semiHidden/>
    <w:rPr>
      <w:lang w:val="en-GB"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EndnoteText1">
    <w:name w:val="Endnote Text1"/>
    <w:basedOn w:val="Normal"/>
    <w:pPr>
      <w:widowControl/>
      <w:suppressAutoHyphens/>
      <w:ind w:leftChars="-1" w:left="-1" w:hangingChars="1" w:hanging="1"/>
      <w:textAlignment w:val="top"/>
      <w:outlineLvl w:val="0"/>
    </w:pPr>
    <w:rPr>
      <w:rFonts w:eastAsia="Times New Roman"/>
      <w:position w:val="-1"/>
      <w:szCs w:val="24"/>
      <w:lang w:val="zh-CN" w:eastAsia="zh-CN"/>
    </w:rPr>
  </w:style>
  <w:style w:type="character" w:customStyle="1" w:styleId="FootnoteTextChar">
    <w:name w:val="Footnote Text Char"/>
    <w:basedOn w:val="DefaultParagraphFont"/>
    <w:link w:val="FootnoteText"/>
    <w:semiHidden/>
    <w:rPr>
      <w:rFonts w:ascii="Univers" w:hAnsi="Univers"/>
      <w:lang w:val="en-GB" w:eastAsia="en-US"/>
    </w:rPr>
  </w:style>
  <w:style w:type="character" w:customStyle="1" w:styleId="ListParagraphChar">
    <w:name w:val="List Paragraph Char"/>
    <w:link w:val="ListParagraph"/>
    <w:uiPriority w:val="34"/>
    <w:locked/>
    <w:rPr>
      <w:lang w:val="en-GB" w:eastAsia="en-US"/>
    </w:rPr>
  </w:style>
  <w:style w:type="character" w:customStyle="1" w:styleId="FooterChar">
    <w:name w:val="Footer Char"/>
    <w:basedOn w:val="DefaultParagraphFont"/>
    <w:link w:val="Footer"/>
    <w:uiPriority w:val="99"/>
    <w:rsid w:val="003D2C39"/>
    <w:rPr>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ejournal.medistra.ac.id/index.php/JFM"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75AD516-23F3-417C-89FF-32B800101B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newtemplate.dotx</Template>
  <TotalTime>3806</TotalTime>
  <Pages>8</Pages>
  <Words>9946</Words>
  <Characters>56694</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66507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MLP</cp:lastModifiedBy>
  <cp:revision>26</cp:revision>
  <cp:lastPrinted>2026-04-29T07:15:00Z</cp:lastPrinted>
  <dcterms:created xsi:type="dcterms:W3CDTF">2025-10-21T06:54:00Z</dcterms:created>
  <dcterms:modified xsi:type="dcterms:W3CDTF">2026-04-29T07:15:00Z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cab1d85e-42d6-3f58-b4c0-ab54fb66494f</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 (in-text citations)</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a067fdaa-16a5-4c17-a490-f5283f1f9480</vt:lpwstr>
  </property>
  <property fmtid="{D5CDD505-2E9C-101B-9397-08002B2CF9AE}" pid="26" name="KSOTemplateDocerSaveRecord">
    <vt:lpwstr>eyJoZGlkIjoiYmZkYzIyZjg1ZWM1YjZmOGE1OWNiMGM3ODk0NWI4ZTUifQ==</vt:lpwstr>
  </property>
  <property fmtid="{D5CDD505-2E9C-101B-9397-08002B2CF9AE}" pid="27" name="KSOProductBuildVer">
    <vt:lpwstr>1033-12.1.0.25242</vt:lpwstr>
  </property>
  <property fmtid="{D5CDD505-2E9C-101B-9397-08002B2CF9AE}" pid="28" name="ICV">
    <vt:lpwstr>4186909C86A94C3D914E5AEA1668B21D_13</vt:lpwstr>
  </property>
</Properties>
</file>