
<file path=[Content_Types].xml><?xml version="1.0" encoding="utf-8"?>
<Types xmlns="http://schemas.openxmlformats.org/package/2006/content-types">
  <Default Extension="bin" ContentType="application/vnd.ms-word.attachedToolbar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24BD6" w14:textId="22702549" w:rsidR="005B176E" w:rsidRDefault="003D69CE" w:rsidP="00685EF0">
      <w:pPr>
        <w:pStyle w:val="Els-Author"/>
        <w:spacing w:after="0"/>
        <w:rPr>
          <w:b/>
          <w:noProof w:val="0"/>
          <w:sz w:val="28"/>
          <w:szCs w:val="28"/>
          <w:lang w:val="en-ID"/>
        </w:rPr>
      </w:pPr>
      <w:r w:rsidRPr="00680905">
        <w:rPr>
          <w:b/>
          <w:noProof w:val="0"/>
          <w:sz w:val="28"/>
          <w:szCs w:val="28"/>
          <w:lang w:val="fi-FI"/>
        </w:rPr>
        <w:t xml:space="preserve">Uji Aktivitas Antiinflamasi Bawang Hitam  </w:t>
      </w:r>
      <w:r>
        <w:rPr>
          <w:b/>
          <w:noProof w:val="0"/>
          <w:sz w:val="28"/>
          <w:szCs w:val="28"/>
          <w:lang w:val="fi-FI"/>
        </w:rPr>
        <w:t>p</w:t>
      </w:r>
      <w:r w:rsidRPr="00680905">
        <w:rPr>
          <w:b/>
          <w:noProof w:val="0"/>
          <w:sz w:val="28"/>
          <w:szCs w:val="28"/>
          <w:lang w:val="fi-FI"/>
        </w:rPr>
        <w:t>ada Tikus Putih Jantan</w:t>
      </w:r>
      <w:r w:rsidR="00680905" w:rsidRPr="00680905">
        <w:rPr>
          <w:b/>
          <w:noProof w:val="0"/>
          <w:sz w:val="28"/>
          <w:szCs w:val="28"/>
          <w:lang w:val="fi-FI"/>
        </w:rPr>
        <w:t xml:space="preserve"> </w:t>
      </w:r>
      <w:r w:rsidR="00680905" w:rsidRPr="00E92EB3">
        <w:rPr>
          <w:b/>
          <w:i/>
          <w:iCs/>
          <w:noProof w:val="0"/>
          <w:sz w:val="28"/>
          <w:szCs w:val="28"/>
          <w:lang w:val="fi-FI"/>
        </w:rPr>
        <w:t>(Rattus norvegicus L.)</w:t>
      </w:r>
      <w:r w:rsidR="00680905" w:rsidRPr="00680905">
        <w:rPr>
          <w:b/>
          <w:noProof w:val="0"/>
          <w:sz w:val="28"/>
          <w:szCs w:val="28"/>
          <w:lang w:val="fi-FI"/>
        </w:rPr>
        <w:t xml:space="preserve"> </w:t>
      </w:r>
      <w:r w:rsidRPr="00E92EB3">
        <w:rPr>
          <w:b/>
          <w:noProof w:val="0"/>
          <w:sz w:val="28"/>
          <w:szCs w:val="28"/>
          <w:lang w:val="en-ID"/>
        </w:rPr>
        <w:t>Model Inflamasi</w:t>
      </w:r>
    </w:p>
    <w:p w14:paraId="6C456EB2" w14:textId="77777777" w:rsidR="00685EF0" w:rsidRPr="00685EF0" w:rsidRDefault="00685EF0" w:rsidP="00685EF0">
      <w:pPr>
        <w:rPr>
          <w:sz w:val="32"/>
          <w:szCs w:val="32"/>
          <w:lang w:val="en-ID"/>
        </w:rPr>
      </w:pPr>
    </w:p>
    <w:p w14:paraId="646FAA52" w14:textId="2BB1DF86" w:rsidR="00982DF4" w:rsidRDefault="00680905" w:rsidP="00685EF0">
      <w:pPr>
        <w:jc w:val="center"/>
        <w:rPr>
          <w:b/>
          <w:i/>
          <w:noProof/>
          <w:sz w:val="28"/>
        </w:rPr>
      </w:pPr>
      <w:r w:rsidRPr="00680905">
        <w:rPr>
          <w:b/>
          <w:i/>
          <w:noProof/>
          <w:sz w:val="28"/>
        </w:rPr>
        <w:t xml:space="preserve">Anti-Inflammatory Activity Test </w:t>
      </w:r>
      <w:r>
        <w:rPr>
          <w:b/>
          <w:i/>
          <w:noProof/>
          <w:sz w:val="28"/>
        </w:rPr>
        <w:t>o</w:t>
      </w:r>
      <w:r w:rsidRPr="00680905">
        <w:rPr>
          <w:b/>
          <w:i/>
          <w:noProof/>
          <w:sz w:val="28"/>
        </w:rPr>
        <w:t xml:space="preserve">f Black Garlic </w:t>
      </w:r>
      <w:r>
        <w:rPr>
          <w:b/>
          <w:i/>
          <w:noProof/>
          <w:sz w:val="28"/>
        </w:rPr>
        <w:t>i</w:t>
      </w:r>
      <w:r w:rsidRPr="00680905">
        <w:rPr>
          <w:b/>
          <w:i/>
          <w:noProof/>
          <w:sz w:val="28"/>
        </w:rPr>
        <w:t xml:space="preserve">n Male White Rats (Rattus Norvegicus) Using </w:t>
      </w:r>
      <w:r>
        <w:rPr>
          <w:b/>
          <w:i/>
          <w:noProof/>
          <w:sz w:val="28"/>
        </w:rPr>
        <w:t>a</w:t>
      </w:r>
      <w:r w:rsidRPr="00680905">
        <w:rPr>
          <w:b/>
          <w:i/>
          <w:noProof/>
          <w:sz w:val="28"/>
        </w:rPr>
        <w:t>n Inflammation Model</w:t>
      </w:r>
    </w:p>
    <w:p w14:paraId="57FBCC6A" w14:textId="77777777" w:rsidR="00685EF0" w:rsidRPr="00685EF0" w:rsidRDefault="00685EF0" w:rsidP="00685EF0">
      <w:pPr>
        <w:jc w:val="center"/>
        <w:rPr>
          <w:b/>
          <w:i/>
          <w:noProof/>
          <w:sz w:val="28"/>
        </w:rPr>
      </w:pPr>
    </w:p>
    <w:p w14:paraId="70490C78" w14:textId="0AAA3359" w:rsidR="00531B1B" w:rsidRDefault="00680905">
      <w:pPr>
        <w:pStyle w:val="Els-Author"/>
        <w:ind w:right="2"/>
        <w:rPr>
          <w:sz w:val="24"/>
          <w:szCs w:val="24"/>
          <w:vertAlign w:val="superscript"/>
          <w:lang w:val="sv-SE"/>
        </w:rPr>
      </w:pPr>
      <w:r w:rsidRPr="00680905">
        <w:rPr>
          <w:sz w:val="24"/>
          <w:szCs w:val="24"/>
          <w:lang w:val="sv-SE"/>
        </w:rPr>
        <w:t>Hasni Yaturramadhan Harahap</w:t>
      </w:r>
      <w:r w:rsidR="00C3304D" w:rsidRPr="00544D7B">
        <w:rPr>
          <w:sz w:val="24"/>
          <w:szCs w:val="24"/>
          <w:vertAlign w:val="superscript"/>
          <w:lang w:val="sv-SE"/>
        </w:rPr>
        <w:t>1</w:t>
      </w:r>
      <w:r w:rsidR="00182AB3">
        <w:rPr>
          <w:rStyle w:val="FootnoteReference"/>
          <w:sz w:val="24"/>
          <w:szCs w:val="24"/>
          <w:lang w:val="fi-FI"/>
        </w:rPr>
        <w:footnoteReference w:id="1"/>
      </w:r>
      <w:r w:rsidR="00E41CE4" w:rsidRPr="00544D7B">
        <w:rPr>
          <w:sz w:val="24"/>
          <w:szCs w:val="24"/>
          <w:lang w:val="sv-SE"/>
        </w:rPr>
        <w:t>,</w:t>
      </w:r>
      <w:r>
        <w:rPr>
          <w:sz w:val="24"/>
          <w:szCs w:val="24"/>
          <w:lang w:val="sv-SE"/>
        </w:rPr>
        <w:t xml:space="preserve"> </w:t>
      </w:r>
      <w:r w:rsidRPr="00680905">
        <w:rPr>
          <w:sz w:val="24"/>
          <w:szCs w:val="24"/>
          <w:lang w:val="sv-SE"/>
        </w:rPr>
        <w:t>Alya Puteri Nazila</w:t>
      </w:r>
      <w:r w:rsidR="00CE1579" w:rsidRPr="00CE1579">
        <w:rPr>
          <w:sz w:val="24"/>
          <w:szCs w:val="24"/>
          <w:vertAlign w:val="superscript"/>
          <w:lang w:val="sv-SE"/>
        </w:rPr>
        <w:t>2</w:t>
      </w:r>
      <w:r w:rsidR="00CE1579">
        <w:rPr>
          <w:sz w:val="24"/>
          <w:szCs w:val="24"/>
          <w:lang w:val="sv-SE"/>
        </w:rPr>
        <w:t xml:space="preserve">, </w:t>
      </w:r>
      <w:r w:rsidR="00645FBE" w:rsidRPr="00645FBE">
        <w:rPr>
          <w:sz w:val="24"/>
          <w:szCs w:val="24"/>
          <w:lang w:val="en-GB"/>
        </w:rPr>
        <w:t>Chandra Pranata</w:t>
      </w:r>
      <w:r w:rsidR="00645FBE" w:rsidRPr="00645FBE">
        <w:rPr>
          <w:sz w:val="24"/>
          <w:szCs w:val="24"/>
          <w:vertAlign w:val="superscript"/>
          <w:lang w:val="en-GB"/>
        </w:rPr>
        <w:t>3</w:t>
      </w:r>
      <w:r w:rsidR="00CE1579">
        <w:rPr>
          <w:sz w:val="24"/>
          <w:szCs w:val="24"/>
          <w:lang w:val="sv-SE"/>
        </w:rPr>
        <w:t xml:space="preserve">, </w:t>
      </w:r>
      <w:r w:rsidR="00645FBE" w:rsidRPr="00645FBE">
        <w:rPr>
          <w:sz w:val="24"/>
          <w:szCs w:val="24"/>
          <w:lang w:val="en-GB"/>
        </w:rPr>
        <w:t>Dicky Yuswardi Wiratma</w:t>
      </w:r>
      <w:r w:rsidR="00CE1579">
        <w:rPr>
          <w:sz w:val="24"/>
          <w:szCs w:val="24"/>
          <w:vertAlign w:val="superscript"/>
          <w:lang w:val="sv-SE"/>
        </w:rPr>
        <w:t>4</w:t>
      </w:r>
      <w:r w:rsidR="00645FBE" w:rsidRPr="00645FBE">
        <w:rPr>
          <w:sz w:val="24"/>
          <w:szCs w:val="24"/>
          <w:lang w:val="sv-SE"/>
        </w:rPr>
        <w:t>,</w:t>
      </w:r>
      <w:r w:rsidR="00645FBE">
        <w:rPr>
          <w:sz w:val="24"/>
          <w:szCs w:val="24"/>
          <w:lang w:val="sv-SE"/>
        </w:rPr>
        <w:t xml:space="preserve"> </w:t>
      </w:r>
      <w:r w:rsidR="00645FBE" w:rsidRPr="00645FBE">
        <w:rPr>
          <w:sz w:val="24"/>
          <w:szCs w:val="24"/>
          <w:lang w:val="en-GB"/>
        </w:rPr>
        <w:t>Shofian Syarifuddin</w:t>
      </w:r>
      <w:r w:rsidR="00645FBE" w:rsidRPr="00645FBE">
        <w:rPr>
          <w:sz w:val="24"/>
          <w:szCs w:val="24"/>
          <w:vertAlign w:val="superscript"/>
          <w:lang w:val="en-GB"/>
        </w:rPr>
        <w:t>5</w:t>
      </w:r>
    </w:p>
    <w:p w14:paraId="2F88F679" w14:textId="77777777" w:rsidR="00685EF0" w:rsidRPr="00685EF0" w:rsidRDefault="00685EF0" w:rsidP="00685EF0">
      <w:pPr>
        <w:rPr>
          <w:sz w:val="10"/>
          <w:szCs w:val="10"/>
          <w:lang w:val="sv-SE" w:eastAsia="zh-CN"/>
        </w:rPr>
      </w:pPr>
    </w:p>
    <w:p w14:paraId="3D7042AB" w14:textId="6A9C54A8" w:rsidR="00531B1B" w:rsidRPr="00544D7B" w:rsidRDefault="0063765A">
      <w:pPr>
        <w:pStyle w:val="Els-Affiliation"/>
        <w:rPr>
          <w:lang w:val="sv-SE"/>
        </w:rPr>
      </w:pPr>
      <w:r w:rsidRPr="00544D7B">
        <w:rPr>
          <w:vertAlign w:val="superscript"/>
          <w:lang w:val="sv-SE"/>
        </w:rPr>
        <w:t>1</w:t>
      </w:r>
      <w:r w:rsidR="00B72E46" w:rsidRPr="00544D7B">
        <w:rPr>
          <w:vertAlign w:val="superscript"/>
          <w:lang w:val="sv-SE"/>
        </w:rPr>
        <w:t>,2</w:t>
      </w:r>
      <w:r w:rsidR="00CE1579">
        <w:rPr>
          <w:vertAlign w:val="superscript"/>
          <w:lang w:val="sv-SE"/>
        </w:rPr>
        <w:t>,3,</w:t>
      </w:r>
      <w:r w:rsidR="00645FBE">
        <w:rPr>
          <w:vertAlign w:val="superscript"/>
          <w:lang w:val="sv-SE"/>
        </w:rPr>
        <w:t>4,5</w:t>
      </w:r>
      <w:r w:rsidR="0041269A" w:rsidRPr="00544D7B">
        <w:rPr>
          <w:lang w:val="sv-SE"/>
        </w:rPr>
        <w:t>Institut Kesehatan Medistra Lubuk Pakam</w:t>
      </w:r>
    </w:p>
    <w:p w14:paraId="16BA6354" w14:textId="521592C7" w:rsidR="00531B1B" w:rsidRPr="00544D7B" w:rsidRDefault="0041269A" w:rsidP="0041269A">
      <w:pPr>
        <w:pStyle w:val="Els-Affiliation"/>
        <w:spacing w:after="400"/>
        <w:rPr>
          <w:lang w:val="sv-SE" w:eastAsia="zh-CN"/>
        </w:rPr>
      </w:pPr>
      <w:r w:rsidRPr="00544D7B">
        <w:rPr>
          <w:lang w:val="sv-SE" w:eastAsia="zh-CN"/>
        </w:rPr>
        <w:t>Jln. Sudirman No.38 Lubuk Pakam, Kabupaten Deli Serdang, Sumatera Utara – Indonesia</w:t>
      </w:r>
    </w:p>
    <w:p w14:paraId="7D7A309D" w14:textId="7E930727" w:rsidR="00531B1B" w:rsidRPr="0016369E" w:rsidRDefault="00531B1B" w:rsidP="0058223E">
      <w:pPr>
        <w:pStyle w:val="Els-Abstract-head"/>
        <w:spacing w:after="0" w:line="276" w:lineRule="auto"/>
        <w:rPr>
          <w:lang w:val="sv-SE"/>
        </w:rPr>
      </w:pPr>
      <w:r w:rsidRPr="0016369E">
        <w:rPr>
          <w:lang w:val="sv-SE"/>
        </w:rPr>
        <w:t>Abstra</w:t>
      </w:r>
      <w:r w:rsidR="0027513F" w:rsidRPr="0016369E">
        <w:rPr>
          <w:lang w:val="sv-SE"/>
        </w:rPr>
        <w:t>k</w:t>
      </w:r>
    </w:p>
    <w:p w14:paraId="72BF136E" w14:textId="77777777" w:rsidR="00685EF0" w:rsidRDefault="00685EF0" w:rsidP="0027513F">
      <w:pPr>
        <w:pStyle w:val="Default"/>
        <w:spacing w:line="276" w:lineRule="auto"/>
        <w:jc w:val="both"/>
        <w:rPr>
          <w:rFonts w:ascii="Times New Roman" w:hAnsi="Times New Roman" w:cs="Times New Roman"/>
          <w:b/>
          <w:bCs/>
          <w:iCs/>
          <w:sz w:val="18"/>
          <w:szCs w:val="18"/>
          <w:lang w:val="sv-SE"/>
        </w:rPr>
      </w:pPr>
    </w:p>
    <w:p w14:paraId="3A8728DE" w14:textId="77777777" w:rsidR="00685EF0" w:rsidRDefault="00E92EB3" w:rsidP="00685EF0">
      <w:pPr>
        <w:pStyle w:val="Default"/>
        <w:jc w:val="both"/>
        <w:rPr>
          <w:rFonts w:ascii="Times New Roman" w:hAnsi="Times New Roman" w:cs="Times New Roman"/>
          <w:iCs/>
          <w:sz w:val="18"/>
          <w:szCs w:val="18"/>
          <w:lang w:val="sv-SE"/>
        </w:rPr>
      </w:pPr>
      <w:r w:rsidRPr="00E92EB3">
        <w:rPr>
          <w:rFonts w:ascii="Times New Roman" w:hAnsi="Times New Roman" w:cs="Times New Roman"/>
          <w:b/>
          <w:bCs/>
          <w:iCs/>
          <w:sz w:val="18"/>
          <w:szCs w:val="18"/>
          <w:lang w:val="sv-SE"/>
        </w:rPr>
        <w:t>Latar belakang:</w:t>
      </w:r>
      <w:r>
        <w:rPr>
          <w:rFonts w:ascii="Times New Roman" w:hAnsi="Times New Roman" w:cs="Times New Roman"/>
          <w:iCs/>
          <w:sz w:val="18"/>
          <w:szCs w:val="18"/>
          <w:lang w:val="sv-SE"/>
        </w:rPr>
        <w:t xml:space="preserve"> </w:t>
      </w:r>
      <w:r w:rsidR="00680905" w:rsidRPr="00680905">
        <w:rPr>
          <w:rFonts w:ascii="Times New Roman" w:hAnsi="Times New Roman" w:cs="Times New Roman"/>
          <w:iCs/>
          <w:sz w:val="18"/>
          <w:szCs w:val="18"/>
          <w:lang w:val="sv-SE"/>
        </w:rPr>
        <w:t>Inflamasi merupakan respons biologis tubuh terhadap cedera, infeksi, atau iritasi yang ditandai dengan nyeri, kemerahan, panas, dan pembengkakan. Berbagai penyakit seperti artritis, asma, dan kanker melibatkan proses inflamasi yang memerlukan penanganan efektif. Penggunaan obat antiinflamasi sintetik, seperti ibuprofen dan natrium diklofenak, sering menimbulkan efek samping, antara lain gangguan saluran pencernaan dan reaksi alergi. Oleh karena itu, diperlukan alternatif pengobatan yang lebih aman, salah satunya berasal dari bahan herbal. Bawang hitam</w:t>
      </w:r>
      <w:r w:rsidR="00985A58">
        <w:rPr>
          <w:rFonts w:ascii="Times New Roman" w:hAnsi="Times New Roman" w:cs="Times New Roman"/>
          <w:iCs/>
          <w:sz w:val="18"/>
          <w:szCs w:val="18"/>
          <w:lang w:val="sv-SE"/>
        </w:rPr>
        <w:t xml:space="preserve"> </w:t>
      </w:r>
      <w:r w:rsidR="00680905" w:rsidRPr="00680905">
        <w:rPr>
          <w:rFonts w:ascii="Times New Roman" w:hAnsi="Times New Roman" w:cs="Times New Roman"/>
          <w:iCs/>
          <w:sz w:val="18"/>
          <w:szCs w:val="18"/>
          <w:lang w:val="sv-SE"/>
        </w:rPr>
        <w:t>diketahui mengandung berbagai senyawa bioaktif, seperti flavonoid, senyawa fenolik, dan organosulfur yang berpotensi menghambat proses inflamasi.</w:t>
      </w:r>
      <w:r w:rsidR="00680905">
        <w:rPr>
          <w:rFonts w:ascii="Times New Roman" w:hAnsi="Times New Roman" w:cs="Times New Roman"/>
          <w:iCs/>
          <w:sz w:val="18"/>
          <w:szCs w:val="18"/>
          <w:lang w:val="sv-SE"/>
        </w:rPr>
        <w:t xml:space="preserve"> </w:t>
      </w:r>
      <w:r w:rsidRPr="00E92EB3">
        <w:rPr>
          <w:rFonts w:ascii="Times New Roman" w:hAnsi="Times New Roman" w:cs="Times New Roman"/>
          <w:b/>
          <w:bCs/>
          <w:iCs/>
          <w:sz w:val="18"/>
          <w:szCs w:val="18"/>
          <w:lang w:val="sv-SE"/>
        </w:rPr>
        <w:t>Tujuan:</w:t>
      </w:r>
      <w:r>
        <w:rPr>
          <w:rFonts w:ascii="Times New Roman" w:hAnsi="Times New Roman" w:cs="Times New Roman"/>
          <w:iCs/>
          <w:sz w:val="18"/>
          <w:szCs w:val="18"/>
          <w:lang w:val="sv-SE"/>
        </w:rPr>
        <w:t xml:space="preserve"> </w:t>
      </w:r>
      <w:r w:rsidR="00680905" w:rsidRPr="00680905">
        <w:rPr>
          <w:rFonts w:ascii="Times New Roman" w:hAnsi="Times New Roman" w:cs="Times New Roman"/>
          <w:iCs/>
          <w:sz w:val="18"/>
          <w:szCs w:val="18"/>
          <w:lang w:val="sv-SE"/>
        </w:rPr>
        <w:t>Penelitian ini bertujuan untuk menguji efektivitas ekstrak etanol bawang hitam sebagai agen antiinflamasi pada tikus jantan yang diinduksi karagenan</w:t>
      </w:r>
      <w:r w:rsidR="00680905">
        <w:rPr>
          <w:rFonts w:ascii="Times New Roman" w:hAnsi="Times New Roman" w:cs="Times New Roman"/>
          <w:iCs/>
          <w:sz w:val="18"/>
          <w:szCs w:val="18"/>
          <w:lang w:val="sv-SE"/>
        </w:rPr>
        <w:t xml:space="preserve">. </w:t>
      </w:r>
      <w:r w:rsidRPr="00E92EB3">
        <w:rPr>
          <w:rFonts w:ascii="Times New Roman" w:hAnsi="Times New Roman" w:cs="Times New Roman"/>
          <w:b/>
          <w:bCs/>
          <w:iCs/>
          <w:sz w:val="18"/>
          <w:szCs w:val="18"/>
          <w:lang w:val="sv-SE"/>
        </w:rPr>
        <w:t>Metode:</w:t>
      </w:r>
      <w:r>
        <w:rPr>
          <w:rFonts w:ascii="Times New Roman" w:hAnsi="Times New Roman" w:cs="Times New Roman"/>
          <w:iCs/>
          <w:sz w:val="18"/>
          <w:szCs w:val="18"/>
          <w:lang w:val="sv-SE"/>
        </w:rPr>
        <w:t xml:space="preserve"> </w:t>
      </w:r>
      <w:r w:rsidR="00680905" w:rsidRPr="00680905">
        <w:rPr>
          <w:rFonts w:ascii="Times New Roman" w:hAnsi="Times New Roman" w:cs="Times New Roman"/>
          <w:iCs/>
          <w:sz w:val="18"/>
          <w:szCs w:val="18"/>
          <w:lang w:val="sv-SE"/>
        </w:rPr>
        <w:t xml:space="preserve">Penelitian ini </w:t>
      </w:r>
      <w:r w:rsidR="00680905">
        <w:rPr>
          <w:rFonts w:ascii="Times New Roman" w:hAnsi="Times New Roman" w:cs="Times New Roman"/>
          <w:iCs/>
          <w:sz w:val="18"/>
          <w:szCs w:val="18"/>
          <w:lang w:val="sv-SE"/>
        </w:rPr>
        <w:t>menerapkan</w:t>
      </w:r>
      <w:r w:rsidR="00680905" w:rsidRPr="00680905">
        <w:rPr>
          <w:rFonts w:ascii="Times New Roman" w:hAnsi="Times New Roman" w:cs="Times New Roman"/>
          <w:iCs/>
          <w:sz w:val="18"/>
          <w:szCs w:val="18"/>
          <w:lang w:val="sv-SE"/>
        </w:rPr>
        <w:t xml:space="preserve"> metode eksperimental laboratorium dengan enam kelompok perlakuan. Tikus jantan dibagi menjadi kelompok normal, kontrol negatif yang diberikan Na-CMC, kontrol positif yang diberikan natrium diklofenak, serta tiga kelompok perlakuan yang menerima ekstrak etanol bawang hitam dengan dosis 100 mg/kgBB, 200 mg/kgBB, dan 400 mg/kgBB. Setelah induksi karagenan, volume edema diukur secara berkala untuk menilai aktivitas antiinflamasi masing-masing perlakuan. </w:t>
      </w:r>
      <w:r w:rsidRPr="00E92EB3">
        <w:rPr>
          <w:rFonts w:ascii="Times New Roman" w:hAnsi="Times New Roman" w:cs="Times New Roman"/>
          <w:b/>
          <w:bCs/>
          <w:iCs/>
          <w:sz w:val="18"/>
          <w:szCs w:val="18"/>
          <w:lang w:val="sv-SE"/>
        </w:rPr>
        <w:t>Hasil:</w:t>
      </w:r>
      <w:r>
        <w:rPr>
          <w:rFonts w:ascii="Times New Roman" w:hAnsi="Times New Roman" w:cs="Times New Roman"/>
          <w:iCs/>
          <w:sz w:val="18"/>
          <w:szCs w:val="18"/>
          <w:lang w:val="sv-SE"/>
        </w:rPr>
        <w:t xml:space="preserve"> </w:t>
      </w:r>
      <w:r w:rsidR="00680905" w:rsidRPr="00680905">
        <w:rPr>
          <w:rFonts w:ascii="Times New Roman" w:hAnsi="Times New Roman" w:cs="Times New Roman"/>
          <w:iCs/>
          <w:sz w:val="18"/>
          <w:szCs w:val="18"/>
          <w:lang w:val="sv-SE"/>
        </w:rPr>
        <w:t xml:space="preserve">Hasil </w:t>
      </w:r>
      <w:r w:rsidR="0068645D" w:rsidRPr="0068645D">
        <w:rPr>
          <w:rFonts w:ascii="Times New Roman" w:hAnsi="Times New Roman" w:cs="Times New Roman"/>
          <w:iCs/>
          <w:sz w:val="18"/>
          <w:szCs w:val="18"/>
          <w:lang w:val="sv-SE"/>
        </w:rPr>
        <w:t xml:space="preserve">Fermentasi bawang putih tunggal menghasilkan </w:t>
      </w:r>
      <w:r w:rsidR="0068645D">
        <w:rPr>
          <w:rFonts w:ascii="Times New Roman" w:hAnsi="Times New Roman" w:cs="Times New Roman"/>
          <w:iCs/>
          <w:sz w:val="18"/>
          <w:szCs w:val="18"/>
          <w:lang w:val="sv-SE"/>
        </w:rPr>
        <w:t>bawang hitam</w:t>
      </w:r>
      <w:r w:rsidR="0068645D" w:rsidRPr="0068645D">
        <w:rPr>
          <w:rFonts w:ascii="Times New Roman" w:hAnsi="Times New Roman" w:cs="Times New Roman"/>
          <w:iCs/>
          <w:sz w:val="18"/>
          <w:szCs w:val="18"/>
          <w:lang w:val="sv-SE"/>
        </w:rPr>
        <w:t xml:space="preserve"> dengan bobot 1,5 kg. Ekstraksi 750 g simplisia menghasilkan EEBH sebanyak 100 g dengan rendemen 13,33%, yang mengandung alkaloid, flavonoid, dan tanin. EEBH</w:t>
      </w:r>
      <w:r w:rsidR="0068645D">
        <w:rPr>
          <w:rFonts w:ascii="Times New Roman" w:hAnsi="Times New Roman" w:cs="Times New Roman"/>
          <w:iCs/>
          <w:sz w:val="18"/>
          <w:szCs w:val="18"/>
          <w:lang w:val="sv-SE"/>
        </w:rPr>
        <w:t xml:space="preserve"> (Ekstrak Etanol Bawang Hitam)</w:t>
      </w:r>
      <w:r w:rsidR="0068645D" w:rsidRPr="0068645D">
        <w:rPr>
          <w:rFonts w:ascii="Times New Roman" w:hAnsi="Times New Roman" w:cs="Times New Roman"/>
          <w:iCs/>
          <w:sz w:val="18"/>
          <w:szCs w:val="18"/>
          <w:lang w:val="sv-SE"/>
        </w:rPr>
        <w:t xml:space="preserve"> menunjukkan aktivitas antiinflamasi, dengan efek terbaik pada dosis 400 mg/kgBB yang menurunkan ukuran peradangan menjadi 21,25 ± 0,50 pada jam ke-7</w:t>
      </w:r>
      <w:r w:rsidR="00680905" w:rsidRPr="00680905">
        <w:rPr>
          <w:rFonts w:ascii="Times New Roman" w:hAnsi="Times New Roman" w:cs="Times New Roman"/>
          <w:iCs/>
          <w:sz w:val="18"/>
          <w:szCs w:val="18"/>
          <w:lang w:val="sv-SE"/>
        </w:rPr>
        <w:t>.</w:t>
      </w:r>
      <w:r w:rsidR="0068645D">
        <w:rPr>
          <w:rFonts w:ascii="Times New Roman" w:hAnsi="Times New Roman" w:cs="Times New Roman"/>
          <w:iCs/>
          <w:sz w:val="18"/>
          <w:szCs w:val="18"/>
          <w:lang w:val="sv-SE"/>
        </w:rPr>
        <w:t xml:space="preserve"> </w:t>
      </w:r>
      <w:r w:rsidRPr="00E92EB3">
        <w:rPr>
          <w:rFonts w:ascii="Times New Roman" w:hAnsi="Times New Roman" w:cs="Times New Roman"/>
          <w:b/>
          <w:bCs/>
          <w:iCs/>
          <w:sz w:val="18"/>
          <w:szCs w:val="18"/>
          <w:lang w:val="sv-SE"/>
        </w:rPr>
        <w:t>Kesimpulan:</w:t>
      </w:r>
      <w:r>
        <w:rPr>
          <w:rFonts w:ascii="Times New Roman" w:hAnsi="Times New Roman" w:cs="Times New Roman"/>
          <w:iCs/>
          <w:sz w:val="18"/>
          <w:szCs w:val="18"/>
          <w:lang w:val="sv-SE"/>
        </w:rPr>
        <w:t xml:space="preserve"> </w:t>
      </w:r>
      <w:r w:rsidR="0068645D">
        <w:rPr>
          <w:rFonts w:ascii="Times New Roman" w:hAnsi="Times New Roman" w:cs="Times New Roman"/>
          <w:iCs/>
          <w:sz w:val="18"/>
          <w:szCs w:val="18"/>
          <w:lang w:val="sv-SE"/>
        </w:rPr>
        <w:t>EEBH</w:t>
      </w:r>
      <w:r w:rsidR="00680905" w:rsidRPr="00680905">
        <w:rPr>
          <w:rFonts w:ascii="Times New Roman" w:hAnsi="Times New Roman" w:cs="Times New Roman"/>
          <w:iCs/>
          <w:sz w:val="18"/>
          <w:szCs w:val="18"/>
          <w:lang w:val="sv-SE"/>
        </w:rPr>
        <w:t xml:space="preserve"> </w:t>
      </w:r>
      <w:r w:rsidR="0068645D">
        <w:rPr>
          <w:rFonts w:ascii="Times New Roman" w:hAnsi="Times New Roman" w:cs="Times New Roman"/>
          <w:iCs/>
          <w:sz w:val="18"/>
          <w:szCs w:val="18"/>
          <w:lang w:val="sv-SE"/>
        </w:rPr>
        <w:t xml:space="preserve">terbukti </w:t>
      </w:r>
      <w:r w:rsidR="00680905" w:rsidRPr="00680905">
        <w:rPr>
          <w:rFonts w:ascii="Times New Roman" w:hAnsi="Times New Roman" w:cs="Times New Roman"/>
          <w:iCs/>
          <w:sz w:val="18"/>
          <w:szCs w:val="18"/>
          <w:lang w:val="sv-SE"/>
        </w:rPr>
        <w:t>efektif sebagai agen antiinflamasi</w:t>
      </w:r>
      <w:r w:rsidR="00680905">
        <w:rPr>
          <w:rFonts w:ascii="Times New Roman" w:hAnsi="Times New Roman" w:cs="Times New Roman"/>
          <w:iCs/>
          <w:sz w:val="18"/>
          <w:szCs w:val="18"/>
          <w:lang w:val="sv-SE"/>
        </w:rPr>
        <w:t xml:space="preserve"> pada </w:t>
      </w:r>
      <w:r w:rsidR="00680905" w:rsidRPr="00680905">
        <w:rPr>
          <w:rFonts w:ascii="Times New Roman" w:hAnsi="Times New Roman" w:cs="Times New Roman"/>
          <w:iCs/>
          <w:sz w:val="18"/>
          <w:szCs w:val="18"/>
          <w:lang w:val="sv-SE"/>
        </w:rPr>
        <w:t xml:space="preserve">dosis optimal 400 mg/kgBB. </w:t>
      </w:r>
      <w:r w:rsidR="00680905">
        <w:rPr>
          <w:rFonts w:ascii="Times New Roman" w:hAnsi="Times New Roman" w:cs="Times New Roman"/>
          <w:iCs/>
          <w:sz w:val="18"/>
          <w:szCs w:val="18"/>
          <w:lang w:val="sv-SE"/>
        </w:rPr>
        <w:t>Hasil</w:t>
      </w:r>
      <w:r w:rsidR="00680905" w:rsidRPr="00680905">
        <w:rPr>
          <w:rFonts w:ascii="Times New Roman" w:hAnsi="Times New Roman" w:cs="Times New Roman"/>
          <w:iCs/>
          <w:sz w:val="18"/>
          <w:szCs w:val="18"/>
          <w:lang w:val="sv-SE"/>
        </w:rPr>
        <w:t xml:space="preserve"> ini </w:t>
      </w:r>
      <w:r w:rsidR="00680905">
        <w:rPr>
          <w:rFonts w:ascii="Times New Roman" w:hAnsi="Times New Roman" w:cs="Times New Roman"/>
          <w:iCs/>
          <w:sz w:val="18"/>
          <w:szCs w:val="18"/>
          <w:lang w:val="sv-SE"/>
        </w:rPr>
        <w:t>mendorong</w:t>
      </w:r>
      <w:r w:rsidR="00680905" w:rsidRPr="00680905">
        <w:rPr>
          <w:rFonts w:ascii="Times New Roman" w:hAnsi="Times New Roman" w:cs="Times New Roman"/>
          <w:iCs/>
          <w:sz w:val="18"/>
          <w:szCs w:val="18"/>
          <w:lang w:val="sv-SE"/>
        </w:rPr>
        <w:t xml:space="preserve"> pemanfaatan bawang hitam sebagai alternatif pengobatan herbal </w:t>
      </w:r>
      <w:r w:rsidR="00680905">
        <w:rPr>
          <w:rFonts w:ascii="Times New Roman" w:hAnsi="Times New Roman" w:cs="Times New Roman"/>
          <w:iCs/>
          <w:sz w:val="18"/>
          <w:szCs w:val="18"/>
          <w:lang w:val="sv-SE"/>
        </w:rPr>
        <w:t xml:space="preserve">pada kejadian </w:t>
      </w:r>
      <w:r w:rsidR="00680905" w:rsidRPr="00680905">
        <w:rPr>
          <w:rFonts w:ascii="Times New Roman" w:hAnsi="Times New Roman" w:cs="Times New Roman"/>
          <w:iCs/>
          <w:sz w:val="18"/>
          <w:szCs w:val="18"/>
          <w:lang w:val="sv-SE"/>
        </w:rPr>
        <w:t>inflamasi</w:t>
      </w:r>
      <w:r w:rsidR="00680905">
        <w:rPr>
          <w:rFonts w:ascii="Times New Roman" w:hAnsi="Times New Roman" w:cs="Times New Roman"/>
          <w:iCs/>
          <w:sz w:val="18"/>
          <w:szCs w:val="18"/>
          <w:lang w:val="sv-SE"/>
        </w:rPr>
        <w:t xml:space="preserve">. </w:t>
      </w:r>
    </w:p>
    <w:p w14:paraId="66710CCC" w14:textId="77777777" w:rsidR="00685EF0" w:rsidRPr="00685EF0" w:rsidRDefault="00685EF0" w:rsidP="00685EF0">
      <w:pPr>
        <w:pStyle w:val="Default"/>
        <w:jc w:val="both"/>
        <w:rPr>
          <w:rFonts w:ascii="Times New Roman" w:hAnsi="Times New Roman" w:cs="Times New Roman"/>
          <w:iCs/>
          <w:sz w:val="12"/>
          <w:szCs w:val="12"/>
          <w:lang w:val="sv-SE"/>
        </w:rPr>
      </w:pPr>
    </w:p>
    <w:p w14:paraId="4F37F5E8" w14:textId="6E379C38" w:rsidR="0027513F" w:rsidRPr="00685EF0" w:rsidRDefault="00E95272" w:rsidP="00685EF0">
      <w:pPr>
        <w:pStyle w:val="Default"/>
        <w:rPr>
          <w:rFonts w:ascii="Times New Roman" w:hAnsi="Times New Roman" w:cs="Times New Roman"/>
          <w:i/>
          <w:iCs/>
          <w:sz w:val="18"/>
          <w:szCs w:val="18"/>
          <w:lang w:val="fi-FI"/>
        </w:rPr>
      </w:pPr>
      <w:r w:rsidRPr="00685EF0">
        <w:rPr>
          <w:rFonts w:ascii="Times New Roman" w:hAnsi="Times New Roman" w:cs="Times New Roman"/>
          <w:b/>
          <w:sz w:val="18"/>
          <w:szCs w:val="12"/>
          <w:lang w:val="fi-FI"/>
        </w:rPr>
        <w:t>K</w:t>
      </w:r>
      <w:r w:rsidR="0027513F" w:rsidRPr="00685EF0">
        <w:rPr>
          <w:rFonts w:ascii="Times New Roman" w:hAnsi="Times New Roman" w:cs="Times New Roman"/>
          <w:b/>
          <w:sz w:val="18"/>
          <w:szCs w:val="12"/>
          <w:lang w:val="fi-FI"/>
        </w:rPr>
        <w:t>ata Kunci</w:t>
      </w:r>
      <w:r w:rsidRPr="00685EF0">
        <w:rPr>
          <w:rFonts w:ascii="Times New Roman" w:hAnsi="Times New Roman" w:cs="Times New Roman"/>
          <w:bCs/>
          <w:sz w:val="18"/>
          <w:szCs w:val="12"/>
          <w:lang w:val="fi-FI"/>
        </w:rPr>
        <w:t>:</w:t>
      </w:r>
      <w:r w:rsidR="00A772D9" w:rsidRPr="00685EF0">
        <w:rPr>
          <w:rFonts w:ascii="Times New Roman" w:hAnsi="Times New Roman" w:cs="Times New Roman"/>
          <w:bCs/>
          <w:sz w:val="18"/>
          <w:szCs w:val="12"/>
          <w:lang w:val="fi-FI"/>
        </w:rPr>
        <w:t xml:space="preserve"> </w:t>
      </w:r>
      <w:r w:rsidR="00680905" w:rsidRPr="00685EF0">
        <w:rPr>
          <w:rFonts w:ascii="Times New Roman" w:hAnsi="Times New Roman" w:cs="Times New Roman"/>
          <w:bCs/>
          <w:sz w:val="18"/>
          <w:szCs w:val="12"/>
          <w:lang w:val="fi-FI"/>
        </w:rPr>
        <w:t>Aktivitas Antiinflamasi; Bawanng Hitam; Model Inflamasi; Tikus Putih Jantan</w:t>
      </w:r>
      <w:r w:rsidR="0027513F" w:rsidRPr="00685EF0">
        <w:rPr>
          <w:rFonts w:ascii="Times New Roman" w:hAnsi="Times New Roman" w:cs="Times New Roman"/>
          <w:sz w:val="18"/>
          <w:szCs w:val="12"/>
          <w:lang w:val="fi-FI"/>
        </w:rPr>
        <w:br/>
      </w:r>
      <w:r w:rsidR="0027513F" w:rsidRPr="00685EF0">
        <w:rPr>
          <w:rFonts w:ascii="Times New Roman" w:hAnsi="Times New Roman" w:cs="Times New Roman"/>
          <w:sz w:val="18"/>
          <w:szCs w:val="12"/>
          <w:lang w:val="fi-FI"/>
        </w:rPr>
        <w:br/>
      </w:r>
      <w:r w:rsidR="0027513F" w:rsidRPr="00685EF0">
        <w:rPr>
          <w:rFonts w:ascii="Times New Roman" w:hAnsi="Times New Roman" w:cs="Times New Roman"/>
          <w:b/>
          <w:bCs/>
          <w:i/>
          <w:iCs/>
          <w:sz w:val="18"/>
          <w:szCs w:val="18"/>
          <w:lang w:val="fi-FI"/>
        </w:rPr>
        <w:t>Abstract</w:t>
      </w:r>
    </w:p>
    <w:p w14:paraId="48881822" w14:textId="77777777" w:rsidR="00685EF0" w:rsidRPr="00685EF0" w:rsidRDefault="00685EF0" w:rsidP="00685EF0">
      <w:pPr>
        <w:pStyle w:val="Default"/>
        <w:jc w:val="both"/>
        <w:rPr>
          <w:rFonts w:ascii="Times New Roman" w:hAnsi="Times New Roman" w:cs="Times New Roman"/>
          <w:iCs/>
          <w:sz w:val="14"/>
          <w:szCs w:val="14"/>
          <w:lang w:val="sv-SE"/>
        </w:rPr>
      </w:pPr>
    </w:p>
    <w:p w14:paraId="02A0F1D8" w14:textId="705E2344" w:rsidR="0027513F" w:rsidRDefault="00E92EB3" w:rsidP="00685EF0">
      <w:pPr>
        <w:pStyle w:val="Els-keywords"/>
        <w:tabs>
          <w:tab w:val="center" w:pos="4677"/>
        </w:tabs>
        <w:spacing w:after="0" w:line="240" w:lineRule="auto"/>
        <w:jc w:val="both"/>
        <w:rPr>
          <w:i/>
          <w:iCs/>
          <w:sz w:val="18"/>
          <w:szCs w:val="18"/>
          <w:lang w:val="en-GB"/>
        </w:rPr>
      </w:pPr>
      <w:r w:rsidRPr="00E92EB3">
        <w:rPr>
          <w:b/>
          <w:bCs/>
          <w:i/>
          <w:iCs/>
          <w:sz w:val="18"/>
          <w:szCs w:val="18"/>
          <w:lang w:val="en-GB"/>
        </w:rPr>
        <w:t xml:space="preserve">Background: </w:t>
      </w:r>
      <w:r w:rsidR="0068645D" w:rsidRPr="0068645D">
        <w:rPr>
          <w:i/>
          <w:iCs/>
          <w:sz w:val="18"/>
          <w:szCs w:val="18"/>
          <w:lang w:val="en-GB"/>
        </w:rPr>
        <w:t>Inflammation is a biological response of the body to injury, infection, or irritation, characterized by pain, redness, heat, and swelling. Several diseases, including arthritis, asthma, and cancer, involve inflammatory processes that require effective therapeutic management. The use of synthetic anti-inflammatory drugs, such as ibuprofen and diclofenac sodium, is often associated with adverse effects, including gastrointestinal disorders and allergic reactions. Therefore, the development of safer therapeutic alternatives, particularly from herbal sources, is highly desirable. Black garlic is known to contain various bioactive compounds, including flavonoids, phenolic compounds, and organosulfur compounds, which have potential anti-inflammatory properties</w:t>
      </w:r>
      <w:r w:rsidR="0068645D" w:rsidRPr="00E92EB3">
        <w:rPr>
          <w:b/>
          <w:bCs/>
          <w:i/>
          <w:iCs/>
          <w:sz w:val="18"/>
          <w:szCs w:val="18"/>
          <w:lang w:val="en-GB"/>
        </w:rPr>
        <w:t>.</w:t>
      </w:r>
      <w:r w:rsidRPr="00E92EB3">
        <w:rPr>
          <w:b/>
          <w:bCs/>
          <w:i/>
          <w:iCs/>
          <w:sz w:val="18"/>
          <w:szCs w:val="18"/>
          <w:lang w:val="en-GB"/>
        </w:rPr>
        <w:t xml:space="preserve"> Purpose:</w:t>
      </w:r>
      <w:r w:rsidR="0068645D" w:rsidRPr="0068645D">
        <w:rPr>
          <w:i/>
          <w:iCs/>
          <w:sz w:val="18"/>
          <w:szCs w:val="18"/>
          <w:lang w:val="en-GB"/>
        </w:rPr>
        <w:t xml:space="preserve"> This study aimed to evaluate the anti-inflammatory activity of black garlic ethanol extract in carrageenan-induced male rats. </w:t>
      </w:r>
      <w:r w:rsidRPr="00E92EB3">
        <w:rPr>
          <w:b/>
          <w:bCs/>
          <w:i/>
          <w:iCs/>
          <w:sz w:val="18"/>
          <w:szCs w:val="18"/>
          <w:lang w:val="en-GB"/>
        </w:rPr>
        <w:t>Methods:</w:t>
      </w:r>
      <w:r>
        <w:rPr>
          <w:i/>
          <w:iCs/>
          <w:sz w:val="18"/>
          <w:szCs w:val="18"/>
          <w:lang w:val="en-GB"/>
        </w:rPr>
        <w:t xml:space="preserve"> </w:t>
      </w:r>
      <w:r w:rsidR="0068645D" w:rsidRPr="0068645D">
        <w:rPr>
          <w:i/>
          <w:iCs/>
          <w:sz w:val="18"/>
          <w:szCs w:val="18"/>
          <w:lang w:val="en-GB"/>
        </w:rPr>
        <w:t xml:space="preserve">A laboratory experimental design was applied using six treatment groups. Male rats were divided into a normal group, a negative control group receiving Na-CMC, a positive control group receiving diclofenac sodium, and three treatment groups administered black garlic ethanol extract at doses of </w:t>
      </w:r>
      <w:r w:rsidR="0068645D" w:rsidRPr="0068645D">
        <w:rPr>
          <w:i/>
          <w:iCs/>
          <w:sz w:val="18"/>
          <w:szCs w:val="18"/>
          <w:lang w:val="en-GB"/>
        </w:rPr>
        <w:lastRenderedPageBreak/>
        <w:t xml:space="preserve">100, 200, and 400 mg/kg body weight. Following carrageenan induction, paw edema volume was measured periodically to evaluate the anti-inflammatory activity of each treatment. </w:t>
      </w:r>
      <w:r w:rsidRPr="00E92EB3">
        <w:rPr>
          <w:b/>
          <w:bCs/>
          <w:i/>
          <w:iCs/>
          <w:sz w:val="18"/>
          <w:szCs w:val="18"/>
          <w:lang w:val="en-GB"/>
        </w:rPr>
        <w:t xml:space="preserve">Results: </w:t>
      </w:r>
      <w:r w:rsidR="0068645D" w:rsidRPr="0068645D">
        <w:rPr>
          <w:i/>
          <w:iCs/>
          <w:sz w:val="18"/>
          <w:szCs w:val="18"/>
          <w:lang w:val="en-GB"/>
        </w:rPr>
        <w:t xml:space="preserve">The fermentation process of single-clove garlic produced black garlic with a final weight of 1.5 kg. Extraction of 750 g simplicia yielded 100 g of black garlic ethanol extract with a yield of 13.33%, containing alkaloids, flavonoids, and tannins. The black garlic ethanol extract demonstrated anti-inflammatory activity, with the highest effect observed at a dose of 400 mg/kg body weight, reducing the inflammation size to 21.25 ± 0.50 at the 7th hour. The findings indicate that black garlic ethanol extract has potential as an anti-inflammatory agent, particularly at an optimal dose of 400 mg/kg body weight. </w:t>
      </w:r>
      <w:r w:rsidRPr="00E92EB3">
        <w:rPr>
          <w:b/>
          <w:bCs/>
          <w:i/>
          <w:iCs/>
          <w:sz w:val="18"/>
          <w:szCs w:val="18"/>
          <w:lang w:val="en-GB"/>
        </w:rPr>
        <w:t xml:space="preserve">Conclusions: </w:t>
      </w:r>
      <w:r w:rsidR="0068645D" w:rsidRPr="0068645D">
        <w:rPr>
          <w:i/>
          <w:iCs/>
          <w:sz w:val="18"/>
          <w:szCs w:val="18"/>
          <w:lang w:val="en-GB"/>
        </w:rPr>
        <w:t>This study supports the potential utilization of black garlic as a herbal alternative for inflammation management.</w:t>
      </w:r>
    </w:p>
    <w:p w14:paraId="6D0F98FA" w14:textId="5E17F979" w:rsidR="00071084" w:rsidRPr="0027513F" w:rsidRDefault="0027513F" w:rsidP="0027513F">
      <w:pPr>
        <w:pStyle w:val="Els-keywords"/>
        <w:tabs>
          <w:tab w:val="center" w:pos="4677"/>
        </w:tabs>
        <w:spacing w:after="0" w:line="276" w:lineRule="auto"/>
        <w:jc w:val="both"/>
        <w:rPr>
          <w:lang w:val="en-GB"/>
        </w:rPr>
      </w:pPr>
      <w:r>
        <w:rPr>
          <w:i/>
          <w:iCs/>
          <w:sz w:val="18"/>
          <w:szCs w:val="18"/>
          <w:lang w:val="en-GB"/>
        </w:rPr>
        <w:br/>
      </w:r>
      <w:r w:rsidRPr="0027513F">
        <w:rPr>
          <w:b/>
          <w:bCs/>
          <w:i/>
          <w:iCs/>
          <w:sz w:val="18"/>
          <w:szCs w:val="18"/>
          <w:lang w:val="en-GB"/>
        </w:rPr>
        <w:t>Keywords:</w:t>
      </w:r>
      <w:r>
        <w:rPr>
          <w:i/>
          <w:iCs/>
          <w:sz w:val="18"/>
          <w:szCs w:val="18"/>
          <w:lang w:val="en-GB"/>
        </w:rPr>
        <w:t xml:space="preserve"> </w:t>
      </w:r>
      <w:r w:rsidR="000B5098" w:rsidRPr="000B5098">
        <w:rPr>
          <w:i/>
          <w:iCs/>
          <w:sz w:val="18"/>
          <w:szCs w:val="18"/>
          <w:lang w:val="en-GB"/>
        </w:rPr>
        <w:t>Anti-inflammatory activity; Black garlic; Inflammation model; Male white rats.</w:t>
      </w:r>
    </w:p>
    <w:p w14:paraId="77189E23" w14:textId="77777777" w:rsidR="004E064F" w:rsidRPr="0027513F" w:rsidRDefault="004E064F" w:rsidP="0085623F">
      <w:pPr>
        <w:pStyle w:val="Els-body-text"/>
        <w:ind w:right="-28" w:firstLine="0"/>
        <w:rPr>
          <w:sz w:val="16"/>
          <w:szCs w:val="16"/>
          <w:lang w:val="en-GB"/>
        </w:rPr>
      </w:pPr>
    </w:p>
    <w:p w14:paraId="051BFB2C" w14:textId="2092C3C3" w:rsidR="001C5518" w:rsidRDefault="0027513F" w:rsidP="00601720">
      <w:pPr>
        <w:pStyle w:val="NormalWeb"/>
        <w:numPr>
          <w:ilvl w:val="0"/>
          <w:numId w:val="9"/>
        </w:numPr>
        <w:spacing w:before="0" w:beforeAutospacing="0" w:after="0" w:afterAutospacing="0" w:line="276" w:lineRule="auto"/>
        <w:ind w:left="284" w:hanging="284"/>
        <w:jc w:val="both"/>
        <w:rPr>
          <w:b/>
          <w:color w:val="000000"/>
          <w:sz w:val="20"/>
          <w:szCs w:val="20"/>
        </w:rPr>
      </w:pPr>
      <w:r>
        <w:rPr>
          <w:b/>
          <w:color w:val="000000"/>
          <w:sz w:val="20"/>
          <w:szCs w:val="20"/>
        </w:rPr>
        <w:t>PENDAHULUAN</w:t>
      </w:r>
    </w:p>
    <w:p w14:paraId="334626A3" w14:textId="77777777" w:rsidR="00685EF0" w:rsidRDefault="00685EF0" w:rsidP="00685EF0">
      <w:pPr>
        <w:pStyle w:val="NormalWeb"/>
        <w:spacing w:before="0" w:beforeAutospacing="0" w:after="0" w:afterAutospacing="0" w:line="276" w:lineRule="auto"/>
        <w:ind w:left="284"/>
        <w:jc w:val="both"/>
        <w:rPr>
          <w:b/>
          <w:color w:val="000000"/>
          <w:sz w:val="20"/>
          <w:szCs w:val="20"/>
        </w:rPr>
      </w:pPr>
    </w:p>
    <w:p w14:paraId="1EE512AC" w14:textId="3BBA1DFE" w:rsidR="009B1719" w:rsidRPr="009B1719" w:rsidRDefault="008C1959" w:rsidP="00601720">
      <w:pPr>
        <w:pStyle w:val="NormalWeb"/>
        <w:spacing w:before="0" w:beforeAutospacing="0" w:after="0" w:afterAutospacing="0" w:line="276" w:lineRule="auto"/>
        <w:jc w:val="both"/>
        <w:rPr>
          <w:rFonts w:eastAsia="Cambria"/>
          <w:color w:val="000000"/>
          <w:sz w:val="20"/>
          <w:szCs w:val="20"/>
          <w:lang w:val="sv-SE"/>
        </w:rPr>
      </w:pPr>
      <w:r w:rsidRPr="008C1959">
        <w:rPr>
          <w:rFonts w:eastAsia="Cambria"/>
          <w:color w:val="000000"/>
          <w:sz w:val="20"/>
          <w:szCs w:val="20"/>
          <w:lang w:val="sv-SE"/>
        </w:rPr>
        <w:t xml:space="preserve">Inflamasi merespon kerusakan jaringan dengan mendatangkan sel dan molekul pertahanan tubuh dari peredaran darah ke lokasi yang diperlukan untuk mengeliminasi penyebab yang sangat mengganggu. </w:t>
      </w:r>
      <w:r>
        <w:rPr>
          <w:rFonts w:eastAsia="Cambria"/>
          <w:color w:val="000000"/>
          <w:sz w:val="20"/>
          <w:szCs w:val="20"/>
          <w:lang w:val="sv-SE"/>
        </w:rPr>
        <w:t>Munculnya</w:t>
      </w:r>
      <w:r w:rsidRPr="008C1959">
        <w:rPr>
          <w:rFonts w:eastAsia="Cambria"/>
          <w:color w:val="000000"/>
          <w:sz w:val="20"/>
          <w:szCs w:val="20"/>
          <w:lang w:val="sv-SE"/>
        </w:rPr>
        <w:t xml:space="preserve"> reaksi inflamasi pada tubuh </w:t>
      </w:r>
      <w:r>
        <w:rPr>
          <w:rFonts w:eastAsia="Cambria"/>
          <w:color w:val="000000"/>
          <w:sz w:val="20"/>
          <w:szCs w:val="20"/>
          <w:lang w:val="sv-SE"/>
        </w:rPr>
        <w:t>berperan dalam</w:t>
      </w:r>
      <w:r w:rsidRPr="008C1959">
        <w:rPr>
          <w:rFonts w:eastAsia="Cambria"/>
          <w:color w:val="000000"/>
          <w:sz w:val="20"/>
          <w:szCs w:val="20"/>
          <w:lang w:val="sv-SE"/>
        </w:rPr>
        <w:t xml:space="preserve"> mengurangi agen pencedera dan mempersiapkan jaringan untuk proses penyembuhan. Antiinflamasi berkhasiat </w:t>
      </w:r>
      <w:r>
        <w:rPr>
          <w:rFonts w:eastAsia="Cambria"/>
          <w:color w:val="000000"/>
          <w:sz w:val="20"/>
          <w:szCs w:val="20"/>
          <w:lang w:val="sv-SE"/>
        </w:rPr>
        <w:t>dalam</w:t>
      </w:r>
      <w:r w:rsidRPr="008C1959">
        <w:rPr>
          <w:rFonts w:eastAsia="Cambria"/>
          <w:color w:val="000000"/>
          <w:sz w:val="20"/>
          <w:szCs w:val="20"/>
          <w:lang w:val="sv-SE"/>
        </w:rPr>
        <w:t xml:space="preserve">  menekan suatu proses peradangan</w:t>
      </w:r>
      <w:r w:rsidR="00792764">
        <w:rPr>
          <w:rFonts w:eastAsia="Cambria"/>
          <w:color w:val="000000"/>
          <w:sz w:val="20"/>
          <w:szCs w:val="20"/>
          <w:lang w:val="sv-SE"/>
        </w:rPr>
        <w:t xml:space="preserve"> [1]</w:t>
      </w:r>
      <w:r w:rsidRPr="008C1959">
        <w:rPr>
          <w:rFonts w:eastAsia="Cambria"/>
          <w:color w:val="000000"/>
          <w:sz w:val="20"/>
          <w:szCs w:val="20"/>
          <w:lang w:val="sv-SE"/>
        </w:rPr>
        <w:t xml:space="preserve">. Obat antiinflamasi non steroid (OAINS) </w:t>
      </w:r>
      <w:r>
        <w:rPr>
          <w:rFonts w:eastAsia="Cambria"/>
          <w:color w:val="000000"/>
          <w:sz w:val="20"/>
          <w:szCs w:val="20"/>
          <w:lang w:val="sv-SE"/>
        </w:rPr>
        <w:t xml:space="preserve">merupakan </w:t>
      </w:r>
      <w:r w:rsidRPr="008C1959">
        <w:rPr>
          <w:rFonts w:eastAsia="Cambria"/>
          <w:color w:val="000000"/>
          <w:sz w:val="20"/>
          <w:szCs w:val="20"/>
          <w:lang w:val="sv-SE"/>
        </w:rPr>
        <w:t>kelompok obat yang banyak diberikan pada pengobatan inflamasi. Obat ini bekerja dalam menghambat enzim siklooksigenase-1 (COX-1)</w:t>
      </w:r>
      <w:r w:rsidR="009B1719">
        <w:rPr>
          <w:rFonts w:eastAsia="Cambria"/>
          <w:color w:val="000000"/>
          <w:sz w:val="20"/>
          <w:szCs w:val="20"/>
          <w:lang w:val="sv-SE"/>
        </w:rPr>
        <w:t xml:space="preserve"> </w:t>
      </w:r>
      <w:r>
        <w:rPr>
          <w:rFonts w:eastAsia="Cambria"/>
          <w:color w:val="000000"/>
          <w:sz w:val="20"/>
          <w:szCs w:val="20"/>
          <w:lang w:val="sv-SE"/>
        </w:rPr>
        <w:t>sehingga menimbulkan</w:t>
      </w:r>
      <w:r w:rsidRPr="008C1959">
        <w:rPr>
          <w:rFonts w:eastAsia="Cambria"/>
          <w:color w:val="000000"/>
          <w:sz w:val="20"/>
          <w:szCs w:val="20"/>
          <w:lang w:val="sv-SE"/>
        </w:rPr>
        <w:t xml:space="preserve"> efek samping terhadap sistem gastrointestinal dan sistem kardiovaskular</w:t>
      </w:r>
      <w:r>
        <w:rPr>
          <w:rFonts w:eastAsia="Cambria"/>
          <w:color w:val="000000"/>
          <w:sz w:val="20"/>
          <w:szCs w:val="20"/>
          <w:lang w:val="sv-SE"/>
        </w:rPr>
        <w:t xml:space="preserve"> dan</w:t>
      </w:r>
      <w:r w:rsidRPr="008C1959">
        <w:rPr>
          <w:rFonts w:eastAsia="Cambria"/>
          <w:color w:val="000000"/>
          <w:sz w:val="20"/>
          <w:szCs w:val="20"/>
          <w:lang w:val="sv-SE"/>
        </w:rPr>
        <w:t xml:space="preserve"> menghambat enzim siklooksigenase-2 (COX 2)</w:t>
      </w:r>
      <w:r w:rsidR="00792764">
        <w:rPr>
          <w:rFonts w:eastAsia="Cambria"/>
          <w:color w:val="000000"/>
          <w:sz w:val="20"/>
          <w:szCs w:val="20"/>
          <w:lang w:val="sv-SE"/>
        </w:rPr>
        <w:t xml:space="preserve"> [2]</w:t>
      </w:r>
      <w:r w:rsidRPr="008C1959">
        <w:rPr>
          <w:rFonts w:eastAsia="Cambria"/>
          <w:color w:val="000000"/>
          <w:sz w:val="20"/>
          <w:szCs w:val="20"/>
          <w:lang w:val="sv-SE"/>
        </w:rPr>
        <w:t xml:space="preserve">. </w:t>
      </w:r>
      <w:r>
        <w:rPr>
          <w:rFonts w:eastAsia="Cambria"/>
          <w:color w:val="000000"/>
          <w:sz w:val="20"/>
          <w:szCs w:val="20"/>
          <w:lang w:val="sv-SE"/>
        </w:rPr>
        <w:t>Munculnya</w:t>
      </w:r>
      <w:r w:rsidRPr="008C1959">
        <w:rPr>
          <w:rFonts w:eastAsia="Cambria"/>
          <w:color w:val="000000"/>
          <w:sz w:val="20"/>
          <w:szCs w:val="20"/>
          <w:lang w:val="sv-SE"/>
        </w:rPr>
        <w:t xml:space="preserve"> efek samping </w:t>
      </w:r>
      <w:r>
        <w:rPr>
          <w:rFonts w:eastAsia="Cambria"/>
          <w:color w:val="000000"/>
          <w:sz w:val="20"/>
          <w:szCs w:val="20"/>
          <w:lang w:val="sv-SE"/>
        </w:rPr>
        <w:t>diakibatkan</w:t>
      </w:r>
      <w:r w:rsidRPr="008C1959">
        <w:rPr>
          <w:rFonts w:eastAsia="Cambria"/>
          <w:color w:val="000000"/>
          <w:sz w:val="20"/>
          <w:szCs w:val="20"/>
          <w:lang w:val="sv-SE"/>
        </w:rPr>
        <w:t xml:space="preserve"> </w:t>
      </w:r>
      <w:r>
        <w:rPr>
          <w:rFonts w:eastAsia="Cambria"/>
          <w:color w:val="000000"/>
          <w:sz w:val="20"/>
          <w:szCs w:val="20"/>
          <w:lang w:val="sv-SE"/>
        </w:rPr>
        <w:t>menyebabkan</w:t>
      </w:r>
      <w:r w:rsidRPr="008C1959">
        <w:rPr>
          <w:rFonts w:eastAsia="Cambria"/>
          <w:color w:val="000000"/>
          <w:sz w:val="20"/>
          <w:szCs w:val="20"/>
          <w:lang w:val="sv-SE"/>
        </w:rPr>
        <w:t xml:space="preserve"> banyak dilakukan penelitian-penelitian mengenai bahan alam </w:t>
      </w:r>
      <w:r>
        <w:rPr>
          <w:rFonts w:eastAsia="Cambria"/>
          <w:color w:val="000000"/>
          <w:sz w:val="20"/>
          <w:szCs w:val="20"/>
          <w:lang w:val="sv-SE"/>
        </w:rPr>
        <w:t>dalam</w:t>
      </w:r>
      <w:r w:rsidRPr="008C1959">
        <w:rPr>
          <w:rFonts w:eastAsia="Cambria"/>
          <w:color w:val="000000"/>
          <w:sz w:val="20"/>
          <w:szCs w:val="20"/>
          <w:lang w:val="sv-SE"/>
        </w:rPr>
        <w:t xml:space="preserve"> mencari alternatif terhadap obat antiinflamasi modern</w:t>
      </w:r>
      <w:r w:rsidR="009C67D7">
        <w:rPr>
          <w:rFonts w:eastAsia="Cambria"/>
          <w:color w:val="000000"/>
          <w:sz w:val="20"/>
          <w:szCs w:val="20"/>
          <w:lang w:val="sv-SE"/>
        </w:rPr>
        <w:t>.</w:t>
      </w:r>
      <w:r w:rsidR="00E92EB3">
        <w:rPr>
          <w:rFonts w:eastAsia="Cambria"/>
          <w:color w:val="000000"/>
          <w:sz w:val="20"/>
          <w:szCs w:val="20"/>
          <w:lang w:val="sv-SE"/>
        </w:rPr>
        <w:t xml:space="preserve"> </w:t>
      </w:r>
      <w:r w:rsidR="009B1719" w:rsidRPr="009B1719">
        <w:rPr>
          <w:rFonts w:eastAsia="Cambria"/>
          <w:color w:val="000000"/>
          <w:sz w:val="20"/>
          <w:szCs w:val="20"/>
          <w:lang w:val="sv-SE"/>
        </w:rPr>
        <w:t xml:space="preserve">Analisis </w:t>
      </w:r>
      <w:r w:rsidR="009B1719" w:rsidRPr="009B1719">
        <w:rPr>
          <w:rFonts w:eastAsia="Cambria"/>
          <w:i/>
          <w:iCs/>
          <w:color w:val="000000"/>
          <w:sz w:val="20"/>
          <w:szCs w:val="20"/>
          <w:lang w:val="sv-SE"/>
        </w:rPr>
        <w:t>Global Burden of Disease</w:t>
      </w:r>
      <w:r w:rsidR="009B1719" w:rsidRPr="009B1719">
        <w:rPr>
          <w:rFonts w:eastAsia="Cambria"/>
          <w:color w:val="000000"/>
          <w:sz w:val="20"/>
          <w:szCs w:val="20"/>
          <w:lang w:val="sv-SE"/>
        </w:rPr>
        <w:t xml:space="preserve"> (GBD) 2021 mengevaluasi </w:t>
      </w:r>
      <w:r w:rsidR="009B1719">
        <w:rPr>
          <w:rFonts w:eastAsia="Cambria"/>
          <w:color w:val="000000"/>
          <w:sz w:val="20"/>
          <w:szCs w:val="20"/>
          <w:lang w:val="sv-SE"/>
        </w:rPr>
        <w:t xml:space="preserve">ada </w:t>
      </w:r>
      <w:r w:rsidR="009B1719" w:rsidRPr="009B1719">
        <w:rPr>
          <w:rFonts w:eastAsia="Cambria"/>
          <w:color w:val="000000"/>
          <w:sz w:val="20"/>
          <w:szCs w:val="20"/>
          <w:lang w:val="sv-SE"/>
        </w:rPr>
        <w:t xml:space="preserve">enam penyakit inflamasi yang diperantarai sistem imun, yaitu asma, dermatitis atopik, </w:t>
      </w:r>
      <w:r w:rsidR="009B1719" w:rsidRPr="009B1719">
        <w:rPr>
          <w:rFonts w:eastAsia="Cambria"/>
          <w:i/>
          <w:iCs/>
          <w:color w:val="000000"/>
          <w:sz w:val="20"/>
          <w:szCs w:val="20"/>
          <w:lang w:val="sv-SE"/>
        </w:rPr>
        <w:t>Inflammatory Bowel Disease (IBD)</w:t>
      </w:r>
      <w:r w:rsidR="009B1719" w:rsidRPr="009B1719">
        <w:rPr>
          <w:rFonts w:eastAsia="Cambria"/>
          <w:color w:val="000000"/>
          <w:sz w:val="20"/>
          <w:szCs w:val="20"/>
          <w:lang w:val="sv-SE"/>
        </w:rPr>
        <w:t>, multiple sclerosis, psoriasis, dan rheumatoid arthritis.</w:t>
      </w:r>
      <w:r w:rsidR="009B1719">
        <w:rPr>
          <w:rFonts w:eastAsia="Cambria"/>
          <w:color w:val="000000"/>
          <w:sz w:val="20"/>
          <w:szCs w:val="20"/>
          <w:lang w:val="sv-SE"/>
        </w:rPr>
        <w:t xml:space="preserve"> </w:t>
      </w:r>
      <w:r w:rsidR="009B1719" w:rsidRPr="009B1719">
        <w:rPr>
          <w:rFonts w:eastAsia="Cambria"/>
          <w:color w:val="000000"/>
          <w:sz w:val="20"/>
          <w:szCs w:val="20"/>
          <w:lang w:val="sv-SE"/>
        </w:rPr>
        <w:t>Hasil</w:t>
      </w:r>
      <w:r w:rsidR="009B1719">
        <w:rPr>
          <w:rFonts w:eastAsia="Cambria"/>
          <w:color w:val="000000"/>
          <w:sz w:val="20"/>
          <w:szCs w:val="20"/>
          <w:lang w:val="sv-SE"/>
        </w:rPr>
        <w:t xml:space="preserve"> </w:t>
      </w:r>
      <w:r w:rsidR="009B1719" w:rsidRPr="009B1719">
        <w:rPr>
          <w:rFonts w:eastAsia="Cambria"/>
          <w:color w:val="000000"/>
          <w:sz w:val="20"/>
          <w:szCs w:val="20"/>
          <w:lang w:val="sv-SE"/>
        </w:rPr>
        <w:t xml:space="preserve">menunjukkan bahwa beban penyakit inflamasi masih sangat besar secara global. Dari </w:t>
      </w:r>
      <w:r w:rsidR="009B1719">
        <w:rPr>
          <w:rFonts w:eastAsia="Cambria"/>
          <w:color w:val="000000"/>
          <w:sz w:val="20"/>
          <w:szCs w:val="20"/>
          <w:lang w:val="sv-SE"/>
        </w:rPr>
        <w:t xml:space="preserve">tahun </w:t>
      </w:r>
      <w:r w:rsidR="009B1719" w:rsidRPr="009B1719">
        <w:rPr>
          <w:rFonts w:eastAsia="Cambria"/>
          <w:color w:val="000000"/>
          <w:sz w:val="20"/>
          <w:szCs w:val="20"/>
          <w:lang w:val="sv-SE"/>
        </w:rPr>
        <w:t xml:space="preserve">1990–2021, </w:t>
      </w:r>
      <w:r w:rsidR="009B1719" w:rsidRPr="009B1719">
        <w:rPr>
          <w:rFonts w:eastAsia="Cambria"/>
          <w:i/>
          <w:iCs/>
          <w:color w:val="000000"/>
          <w:sz w:val="20"/>
          <w:szCs w:val="20"/>
          <w:lang w:val="sv-SE"/>
        </w:rPr>
        <w:t>age-standardized DALY</w:t>
      </w:r>
      <w:r w:rsidR="009B1719" w:rsidRPr="009B1719">
        <w:rPr>
          <w:rFonts w:eastAsia="Cambria"/>
          <w:color w:val="000000"/>
          <w:sz w:val="20"/>
          <w:szCs w:val="20"/>
          <w:lang w:val="sv-SE"/>
        </w:rPr>
        <w:t xml:space="preserve"> rate meningkat pada psoriasis (EAPC 0,23%) dan rheumatoid arthritis (EAPC 0,05%), sedangkan asma, dermatitis atopik, IBD, dan multiple sclerosis menunjukkan penurunan </w:t>
      </w:r>
      <w:r w:rsidR="009B1719" w:rsidRPr="009B1719">
        <w:rPr>
          <w:rFonts w:eastAsia="Cambria"/>
          <w:i/>
          <w:iCs/>
          <w:color w:val="000000"/>
          <w:sz w:val="20"/>
          <w:szCs w:val="20"/>
          <w:lang w:val="sv-SE"/>
        </w:rPr>
        <w:t>age-standardized DALY rate</w:t>
      </w:r>
      <w:r w:rsidR="00792764">
        <w:rPr>
          <w:rFonts w:eastAsia="Cambria"/>
          <w:color w:val="000000"/>
          <w:sz w:val="20"/>
          <w:szCs w:val="20"/>
          <w:lang w:val="sv-SE"/>
        </w:rPr>
        <w:t xml:space="preserve"> [3].</w:t>
      </w:r>
    </w:p>
    <w:p w14:paraId="321017D2" w14:textId="77777777" w:rsidR="00601720" w:rsidRPr="009B1719" w:rsidRDefault="00601720" w:rsidP="00601720">
      <w:pPr>
        <w:pStyle w:val="NormalWeb"/>
        <w:spacing w:before="0" w:beforeAutospacing="0" w:after="0" w:afterAutospacing="0" w:line="276" w:lineRule="auto"/>
        <w:jc w:val="both"/>
        <w:rPr>
          <w:rFonts w:eastAsia="Cambria"/>
          <w:color w:val="000000"/>
          <w:sz w:val="20"/>
          <w:szCs w:val="20"/>
          <w:lang w:val="sv-SE"/>
        </w:rPr>
      </w:pPr>
    </w:p>
    <w:p w14:paraId="44C06193" w14:textId="46650164" w:rsidR="00792764" w:rsidRDefault="00792764" w:rsidP="00601720">
      <w:pPr>
        <w:pStyle w:val="NormalWeb"/>
        <w:spacing w:before="0" w:beforeAutospacing="0" w:after="0" w:afterAutospacing="0" w:line="276" w:lineRule="auto"/>
        <w:jc w:val="both"/>
        <w:rPr>
          <w:rFonts w:eastAsia="Cambria"/>
          <w:color w:val="000000"/>
          <w:sz w:val="20"/>
          <w:szCs w:val="20"/>
          <w:lang w:val="sv-SE"/>
        </w:rPr>
      </w:pPr>
      <w:r w:rsidRPr="00792764">
        <w:rPr>
          <w:rFonts w:eastAsia="Cambria"/>
          <w:color w:val="000000"/>
          <w:sz w:val="20"/>
          <w:szCs w:val="20"/>
          <w:lang w:val="sv-SE"/>
        </w:rPr>
        <w:t xml:space="preserve">Bawang putih </w:t>
      </w:r>
      <w:r w:rsidRPr="00792764">
        <w:rPr>
          <w:rFonts w:eastAsia="Cambria"/>
          <w:i/>
          <w:iCs/>
          <w:color w:val="000000"/>
          <w:sz w:val="20"/>
          <w:szCs w:val="20"/>
          <w:lang w:val="sv-SE"/>
        </w:rPr>
        <w:t>(Allium sativum L.)</w:t>
      </w:r>
      <w:r>
        <w:rPr>
          <w:rFonts w:eastAsia="Cambria"/>
          <w:color w:val="000000"/>
          <w:sz w:val="20"/>
          <w:szCs w:val="20"/>
          <w:lang w:val="sv-SE"/>
        </w:rPr>
        <w:t xml:space="preserve"> </w:t>
      </w:r>
      <w:r w:rsidRPr="00792764">
        <w:rPr>
          <w:rFonts w:eastAsia="Cambria"/>
          <w:color w:val="000000"/>
          <w:sz w:val="20"/>
          <w:szCs w:val="20"/>
          <w:lang w:val="sv-SE"/>
        </w:rPr>
        <w:t>merupakan tanaman yang kaya akan senyawa bioaktif dan telah banyak dikaji karena memiliki aktivitas farmakologis</w:t>
      </w:r>
      <w:r>
        <w:rPr>
          <w:rFonts w:eastAsia="Cambria"/>
          <w:color w:val="000000"/>
          <w:sz w:val="20"/>
          <w:szCs w:val="20"/>
          <w:lang w:val="sv-SE"/>
        </w:rPr>
        <w:t xml:space="preserve"> dalam bentuk</w:t>
      </w:r>
      <w:r w:rsidRPr="00792764">
        <w:rPr>
          <w:rFonts w:eastAsia="Cambria"/>
          <w:color w:val="000000"/>
          <w:sz w:val="20"/>
          <w:szCs w:val="20"/>
          <w:lang w:val="sv-SE"/>
        </w:rPr>
        <w:t xml:space="preserve"> efek hipolipidemik dan antiinflamasi</w:t>
      </w:r>
      <w:r>
        <w:rPr>
          <w:rFonts w:eastAsia="Cambria"/>
          <w:color w:val="000000"/>
          <w:sz w:val="20"/>
          <w:szCs w:val="20"/>
          <w:lang w:val="sv-SE"/>
        </w:rPr>
        <w:t xml:space="preserve"> [4]</w:t>
      </w:r>
      <w:r w:rsidRPr="00792764">
        <w:rPr>
          <w:rFonts w:eastAsia="Cambria"/>
          <w:color w:val="000000"/>
          <w:sz w:val="20"/>
          <w:szCs w:val="20"/>
          <w:lang w:val="sv-SE"/>
        </w:rPr>
        <w:t>. Senyawa</w:t>
      </w:r>
      <w:r>
        <w:rPr>
          <w:rFonts w:eastAsia="Cambria"/>
          <w:color w:val="000000"/>
          <w:sz w:val="20"/>
          <w:szCs w:val="20"/>
          <w:lang w:val="sv-SE"/>
        </w:rPr>
        <w:t xml:space="preserve"> </w:t>
      </w:r>
      <w:r w:rsidRPr="00792764">
        <w:rPr>
          <w:rFonts w:eastAsia="Cambria"/>
          <w:color w:val="000000"/>
          <w:sz w:val="20"/>
          <w:szCs w:val="20"/>
          <w:lang w:val="sv-SE"/>
        </w:rPr>
        <w:t>allicin diketahui berpengaruh terhadap metabolisme lipid</w:t>
      </w:r>
      <w:r>
        <w:rPr>
          <w:rFonts w:eastAsia="Cambria"/>
          <w:color w:val="000000"/>
          <w:sz w:val="20"/>
          <w:szCs w:val="20"/>
          <w:lang w:val="sv-SE"/>
        </w:rPr>
        <w:t xml:space="preserve"> dan</w:t>
      </w:r>
      <w:r w:rsidRPr="00792764">
        <w:rPr>
          <w:rFonts w:eastAsia="Cambria"/>
          <w:color w:val="000000"/>
          <w:sz w:val="20"/>
          <w:szCs w:val="20"/>
          <w:lang w:val="sv-SE"/>
        </w:rPr>
        <w:t xml:space="preserve"> komponen bioaktif bawang putih juga berpotensi memodulasi respons inflamasi melalui pengaruhnya terhadap mediator dan jalur pensinyalan proinflamasi. Potensi multifarmakologis tersebut menjadikan bawang putih sebagai salah satu sumber bahan alam yang menarik untuk dikembangkan sebagai kandidat agen antiinflamasi</w:t>
      </w:r>
      <w:r>
        <w:rPr>
          <w:rFonts w:eastAsia="Cambria"/>
          <w:color w:val="000000"/>
          <w:sz w:val="20"/>
          <w:szCs w:val="20"/>
          <w:lang w:val="sv-SE"/>
        </w:rPr>
        <w:t xml:space="preserve"> [5].</w:t>
      </w:r>
    </w:p>
    <w:p w14:paraId="766B0D51" w14:textId="77777777" w:rsidR="00792764" w:rsidRDefault="00792764" w:rsidP="00601720">
      <w:pPr>
        <w:pStyle w:val="NormalWeb"/>
        <w:spacing w:before="0" w:beforeAutospacing="0" w:after="0" w:afterAutospacing="0" w:line="276" w:lineRule="auto"/>
        <w:jc w:val="both"/>
        <w:rPr>
          <w:rFonts w:eastAsia="Cambria"/>
          <w:color w:val="000000"/>
          <w:sz w:val="20"/>
          <w:szCs w:val="20"/>
          <w:lang w:val="sv-SE"/>
        </w:rPr>
      </w:pPr>
    </w:p>
    <w:p w14:paraId="6075C865" w14:textId="66C09722" w:rsidR="00792764" w:rsidRPr="009B1719" w:rsidRDefault="00792764" w:rsidP="00601720">
      <w:pPr>
        <w:pStyle w:val="NormalWeb"/>
        <w:spacing w:before="0" w:beforeAutospacing="0" w:after="0" w:afterAutospacing="0" w:line="276" w:lineRule="auto"/>
        <w:jc w:val="both"/>
        <w:rPr>
          <w:rFonts w:eastAsia="Cambria"/>
          <w:color w:val="000000"/>
          <w:sz w:val="20"/>
          <w:szCs w:val="20"/>
          <w:lang w:val="sv-SE"/>
        </w:rPr>
      </w:pPr>
      <w:r w:rsidRPr="00792764">
        <w:rPr>
          <w:rFonts w:eastAsia="Cambria"/>
          <w:color w:val="000000"/>
          <w:sz w:val="20"/>
          <w:szCs w:val="20"/>
          <w:lang w:val="sv-SE"/>
        </w:rPr>
        <w:t xml:space="preserve">Tikus putih </w:t>
      </w:r>
      <w:r w:rsidRPr="00792764">
        <w:rPr>
          <w:rFonts w:eastAsia="Cambria"/>
          <w:i/>
          <w:iCs/>
          <w:color w:val="000000"/>
          <w:sz w:val="20"/>
          <w:szCs w:val="20"/>
          <w:lang w:val="sv-SE"/>
        </w:rPr>
        <w:t>(Rattus norvegicus L.)</w:t>
      </w:r>
      <w:r w:rsidRPr="00792764">
        <w:rPr>
          <w:rFonts w:eastAsia="Cambria"/>
          <w:color w:val="000000"/>
          <w:sz w:val="20"/>
          <w:szCs w:val="20"/>
          <w:lang w:val="sv-SE"/>
        </w:rPr>
        <w:t xml:space="preserve"> memiliki respons inflamasi yang dapat dimodelkan melalui induksi agen</w:t>
      </w:r>
      <w:r>
        <w:rPr>
          <w:rFonts w:eastAsia="Cambria"/>
          <w:color w:val="000000"/>
          <w:sz w:val="20"/>
          <w:szCs w:val="20"/>
          <w:lang w:val="sv-SE"/>
        </w:rPr>
        <w:t xml:space="preserve"> </w:t>
      </w:r>
      <w:r w:rsidRPr="00792764">
        <w:rPr>
          <w:rFonts w:eastAsia="Cambria"/>
          <w:color w:val="000000"/>
          <w:sz w:val="20"/>
          <w:szCs w:val="20"/>
          <w:lang w:val="sv-SE"/>
        </w:rPr>
        <w:t>karagenan, sehingga sesuai untuk mengevaluasi potensi aktivitas antiinflamasi suatu bahan uji. Model ini memungkinkan perubahan edema pada jaringan diamati secara kuantitatif sebagai salah satu parameter respons inflamasi akut. Oleh karena itu, tikus putih jantan dapat digunakan sebagai model eksperimental yang relevan untuk mengkaji aktivitas farmakologis dan efektivitas kandidat agen antiinflamasi sebelum dilakukan penelitian lebih lanjut</w:t>
      </w:r>
      <w:r>
        <w:rPr>
          <w:rFonts w:eastAsia="Cambria"/>
          <w:color w:val="000000"/>
          <w:sz w:val="20"/>
          <w:szCs w:val="20"/>
          <w:lang w:val="sv-SE"/>
        </w:rPr>
        <w:t xml:space="preserve"> [</w:t>
      </w:r>
      <w:r w:rsidR="00ED045E">
        <w:rPr>
          <w:rFonts w:eastAsia="Cambria"/>
          <w:color w:val="000000"/>
          <w:sz w:val="20"/>
          <w:szCs w:val="20"/>
          <w:lang w:val="sv-SE"/>
        </w:rPr>
        <w:t>6</w:t>
      </w:r>
      <w:r>
        <w:rPr>
          <w:rFonts w:eastAsia="Cambria"/>
          <w:color w:val="000000"/>
          <w:sz w:val="20"/>
          <w:szCs w:val="20"/>
          <w:lang w:val="sv-SE"/>
        </w:rPr>
        <w:t>].</w:t>
      </w:r>
    </w:p>
    <w:p w14:paraId="667EC1F6" w14:textId="77777777" w:rsidR="00601720" w:rsidRPr="009B1719" w:rsidRDefault="00601720" w:rsidP="00601720">
      <w:pPr>
        <w:pStyle w:val="NormalWeb"/>
        <w:spacing w:before="0" w:beforeAutospacing="0" w:after="0" w:afterAutospacing="0" w:line="276" w:lineRule="auto"/>
        <w:jc w:val="both"/>
        <w:rPr>
          <w:rFonts w:eastAsia="Cambria"/>
          <w:color w:val="000000"/>
          <w:sz w:val="20"/>
          <w:szCs w:val="20"/>
          <w:lang w:val="sv-SE"/>
        </w:rPr>
      </w:pPr>
    </w:p>
    <w:p w14:paraId="52EA50DF" w14:textId="4FC6632C" w:rsidR="00601720" w:rsidRPr="00601720" w:rsidRDefault="00D2173D" w:rsidP="00601720">
      <w:pPr>
        <w:pStyle w:val="NormalWeb"/>
        <w:spacing w:before="0" w:beforeAutospacing="0" w:after="0" w:afterAutospacing="0" w:line="276" w:lineRule="auto"/>
        <w:jc w:val="both"/>
        <w:rPr>
          <w:rFonts w:eastAsia="Cambria"/>
          <w:color w:val="000000"/>
          <w:sz w:val="20"/>
          <w:szCs w:val="20"/>
          <w:lang w:val="fi-FI"/>
        </w:rPr>
      </w:pPr>
      <w:r>
        <w:rPr>
          <w:rFonts w:eastAsia="Cambria"/>
          <w:color w:val="000000"/>
          <w:sz w:val="20"/>
          <w:szCs w:val="20"/>
          <w:lang w:val="fi-FI"/>
        </w:rPr>
        <w:t xml:space="preserve">Menurut hasil riset </w:t>
      </w:r>
      <w:r w:rsidRPr="00D2173D">
        <w:rPr>
          <w:rFonts w:eastAsia="Cambria"/>
          <w:color w:val="000000"/>
          <w:sz w:val="20"/>
          <w:szCs w:val="20"/>
          <w:lang w:val="fi-FI"/>
        </w:rPr>
        <w:t xml:space="preserve">Pratidina </w:t>
      </w:r>
      <w:r w:rsidRPr="00D2173D">
        <w:rPr>
          <w:rFonts w:eastAsia="Cambria"/>
          <w:i/>
          <w:iCs/>
          <w:color w:val="000000"/>
          <w:sz w:val="20"/>
          <w:szCs w:val="20"/>
          <w:lang w:val="fi-FI"/>
        </w:rPr>
        <w:t>et al.</w:t>
      </w:r>
      <w:r w:rsidRPr="00D2173D">
        <w:rPr>
          <w:rFonts w:eastAsia="Cambria"/>
          <w:color w:val="000000"/>
          <w:sz w:val="20"/>
          <w:szCs w:val="20"/>
          <w:lang w:val="fi-FI"/>
        </w:rPr>
        <w:t xml:space="preserve"> (2021) melaporkan bahwa ekstrak etanol bawang hitam Indonesia pada konsentrasi 50–400 mg/L </w:t>
      </w:r>
      <w:r>
        <w:rPr>
          <w:rFonts w:eastAsia="Cambria"/>
          <w:color w:val="000000"/>
          <w:sz w:val="20"/>
          <w:szCs w:val="20"/>
          <w:lang w:val="fi-FI"/>
        </w:rPr>
        <w:t xml:space="preserve">terbukti </w:t>
      </w:r>
      <w:r w:rsidRPr="00D2173D">
        <w:rPr>
          <w:rFonts w:eastAsia="Cambria"/>
          <w:color w:val="000000"/>
          <w:sz w:val="20"/>
          <w:szCs w:val="20"/>
          <w:lang w:val="fi-FI"/>
        </w:rPr>
        <w:t>mampu menekan ekspresi mediator inflamasi iNOS, COX-2, IL-6, NF-κB, dan TNF-α pada makrofag RAW 264.7 terstimulasi LPS tanpa menunjukkan toksisitas hingga 400 mg/L</w:t>
      </w:r>
      <w:r w:rsidR="00E92EB3">
        <w:rPr>
          <w:rFonts w:eastAsia="Cambria"/>
          <w:color w:val="000000"/>
          <w:sz w:val="20"/>
          <w:szCs w:val="20"/>
          <w:lang w:val="fi-FI"/>
        </w:rPr>
        <w:t xml:space="preserve">. </w:t>
      </w:r>
      <w:r w:rsidR="00E92EB3" w:rsidRPr="00E92EB3">
        <w:rPr>
          <w:rFonts w:eastAsia="Cambria"/>
          <w:color w:val="000000"/>
          <w:sz w:val="20"/>
          <w:szCs w:val="20"/>
          <w:lang w:val="fi-FI"/>
        </w:rPr>
        <w:t>emuan ini mendukung potensi antiinflamasi ekstrak bawang hitam</w:t>
      </w:r>
      <w:r w:rsidR="00E92EB3">
        <w:rPr>
          <w:rFonts w:eastAsia="Cambria"/>
          <w:color w:val="000000"/>
          <w:sz w:val="20"/>
          <w:szCs w:val="20"/>
          <w:lang w:val="fi-FI"/>
        </w:rPr>
        <w:t xml:space="preserve"> </w:t>
      </w:r>
      <w:r>
        <w:rPr>
          <w:rFonts w:eastAsia="Cambria"/>
          <w:color w:val="000000"/>
          <w:sz w:val="20"/>
          <w:szCs w:val="20"/>
          <w:lang w:val="fi-FI"/>
        </w:rPr>
        <w:t>[</w:t>
      </w:r>
      <w:r w:rsidR="00ED045E">
        <w:rPr>
          <w:rFonts w:eastAsia="Cambria"/>
          <w:color w:val="000000"/>
          <w:sz w:val="20"/>
          <w:szCs w:val="20"/>
          <w:lang w:val="fi-FI"/>
        </w:rPr>
        <w:t>7</w:t>
      </w:r>
      <w:r>
        <w:rPr>
          <w:rFonts w:eastAsia="Cambria"/>
          <w:color w:val="000000"/>
          <w:sz w:val="20"/>
          <w:szCs w:val="20"/>
          <w:lang w:val="fi-FI"/>
        </w:rPr>
        <w:t>]</w:t>
      </w:r>
      <w:r w:rsidRPr="00D2173D">
        <w:rPr>
          <w:rFonts w:eastAsia="Cambria"/>
          <w:color w:val="000000"/>
          <w:sz w:val="20"/>
          <w:szCs w:val="20"/>
          <w:lang w:val="fi-FI"/>
        </w:rPr>
        <w:t xml:space="preserve">. </w:t>
      </w:r>
      <w:r>
        <w:rPr>
          <w:rFonts w:eastAsia="Cambria"/>
          <w:color w:val="000000"/>
          <w:sz w:val="20"/>
          <w:szCs w:val="20"/>
          <w:lang w:val="fi-FI"/>
        </w:rPr>
        <w:t>Terakhir</w:t>
      </w:r>
      <w:r w:rsidRPr="00D2173D">
        <w:rPr>
          <w:rFonts w:eastAsia="Cambria"/>
          <w:color w:val="000000"/>
          <w:sz w:val="20"/>
          <w:szCs w:val="20"/>
          <w:lang w:val="fi-FI"/>
        </w:rPr>
        <w:t xml:space="preserve">, Libero </w:t>
      </w:r>
      <w:r w:rsidRPr="00D2173D">
        <w:rPr>
          <w:rFonts w:eastAsia="Cambria"/>
          <w:i/>
          <w:iCs/>
          <w:color w:val="000000"/>
          <w:sz w:val="20"/>
          <w:szCs w:val="20"/>
          <w:lang w:val="fi-FI"/>
        </w:rPr>
        <w:t>et al</w:t>
      </w:r>
      <w:r w:rsidRPr="00D2173D">
        <w:rPr>
          <w:rFonts w:eastAsia="Cambria"/>
          <w:color w:val="000000"/>
          <w:sz w:val="20"/>
          <w:szCs w:val="20"/>
          <w:lang w:val="fi-FI"/>
        </w:rPr>
        <w:t xml:space="preserve">. (2024) melaporkan bahwa ekstrak </w:t>
      </w:r>
      <w:r w:rsidRPr="00D2173D">
        <w:rPr>
          <w:rFonts w:eastAsia="Cambria"/>
          <w:i/>
          <w:iCs/>
          <w:color w:val="000000"/>
          <w:sz w:val="20"/>
          <w:szCs w:val="20"/>
          <w:lang w:val="fi-FI"/>
        </w:rPr>
        <w:t>aged black garlic</w:t>
      </w:r>
      <w:r w:rsidRPr="00D2173D">
        <w:rPr>
          <w:rFonts w:eastAsia="Cambria"/>
          <w:color w:val="000000"/>
          <w:sz w:val="20"/>
          <w:szCs w:val="20"/>
          <w:lang w:val="fi-FI"/>
        </w:rPr>
        <w:t xml:space="preserve"> dosis 0,03–1 g/kgBB memberikan efek antiinflamasi pada tikus model kolitis, dengan dosis 1 g/kgBB menurunkan respons nosiseptif dan ekspresi IL-1β, IL-6, NF-κB, dan TNF-α</w:t>
      </w:r>
      <w:r>
        <w:rPr>
          <w:rFonts w:eastAsia="Cambria"/>
          <w:color w:val="000000"/>
          <w:sz w:val="20"/>
          <w:szCs w:val="20"/>
          <w:lang w:val="fi-FI"/>
        </w:rPr>
        <w:t xml:space="preserve"> [</w:t>
      </w:r>
      <w:r w:rsidR="00126DF2">
        <w:rPr>
          <w:rFonts w:eastAsia="Cambria"/>
          <w:color w:val="000000"/>
          <w:sz w:val="20"/>
          <w:szCs w:val="20"/>
          <w:lang w:val="fi-FI"/>
        </w:rPr>
        <w:t>8</w:t>
      </w:r>
      <w:r>
        <w:rPr>
          <w:rFonts w:eastAsia="Cambria"/>
          <w:color w:val="000000"/>
          <w:sz w:val="20"/>
          <w:szCs w:val="20"/>
          <w:lang w:val="fi-FI"/>
        </w:rPr>
        <w:t>]</w:t>
      </w:r>
      <w:r w:rsidRPr="00D2173D">
        <w:rPr>
          <w:rFonts w:eastAsia="Cambria"/>
          <w:color w:val="000000"/>
          <w:sz w:val="20"/>
          <w:szCs w:val="20"/>
          <w:lang w:val="fi-FI"/>
        </w:rPr>
        <w:t>.</w:t>
      </w:r>
      <w:r w:rsidR="00126DF2">
        <w:rPr>
          <w:rFonts w:eastAsia="Cambria"/>
          <w:color w:val="000000"/>
          <w:sz w:val="20"/>
          <w:szCs w:val="20"/>
          <w:lang w:val="fi-FI"/>
        </w:rPr>
        <w:t xml:space="preserve"> </w:t>
      </w:r>
      <w:r>
        <w:rPr>
          <w:rFonts w:eastAsia="Cambria"/>
          <w:color w:val="000000"/>
          <w:sz w:val="20"/>
          <w:szCs w:val="20"/>
          <w:lang w:val="fi-FI"/>
        </w:rPr>
        <w:t>Temuan</w:t>
      </w:r>
      <w:r w:rsidRPr="00D2173D">
        <w:rPr>
          <w:rFonts w:eastAsia="Cambria"/>
          <w:color w:val="000000"/>
          <w:sz w:val="20"/>
          <w:szCs w:val="20"/>
          <w:lang w:val="fi-FI"/>
        </w:rPr>
        <w:t xml:space="preserve"> tersebut menunjukkan potensi antiinflamasi bawang hitam, </w:t>
      </w:r>
      <w:r>
        <w:rPr>
          <w:rFonts w:eastAsia="Cambria"/>
          <w:color w:val="000000"/>
          <w:sz w:val="20"/>
          <w:szCs w:val="20"/>
          <w:lang w:val="fi-FI"/>
        </w:rPr>
        <w:t>namun</w:t>
      </w:r>
      <w:r w:rsidRPr="00D2173D">
        <w:rPr>
          <w:rFonts w:eastAsia="Cambria"/>
          <w:color w:val="000000"/>
          <w:sz w:val="20"/>
          <w:szCs w:val="20"/>
          <w:lang w:val="fi-FI"/>
        </w:rPr>
        <w:t xml:space="preserve"> bukti mengenai efektivitas ekstrak etanol bawang hitam pada inflamasi akut yang diinduksi karagenan berdasarkan perubahan volume edema pada tikus putih jantan, masih </w:t>
      </w:r>
      <w:r>
        <w:rPr>
          <w:rFonts w:eastAsia="Cambria"/>
          <w:color w:val="000000"/>
          <w:sz w:val="20"/>
          <w:szCs w:val="20"/>
          <w:lang w:val="fi-FI"/>
        </w:rPr>
        <w:t xml:space="preserve">sangat </w:t>
      </w:r>
      <w:r w:rsidRPr="00D2173D">
        <w:rPr>
          <w:rFonts w:eastAsia="Cambria"/>
          <w:color w:val="000000"/>
          <w:sz w:val="20"/>
          <w:szCs w:val="20"/>
          <w:lang w:val="fi-FI"/>
        </w:rPr>
        <w:t>terbatas</w:t>
      </w:r>
      <w:r>
        <w:rPr>
          <w:rFonts w:eastAsia="Cambria"/>
          <w:color w:val="000000"/>
          <w:sz w:val="20"/>
          <w:szCs w:val="20"/>
          <w:lang w:val="fi-FI"/>
        </w:rPr>
        <w:t xml:space="preserve"> diteliti.</w:t>
      </w:r>
      <w:r w:rsidR="000A53A5">
        <w:rPr>
          <w:rFonts w:eastAsia="Cambria"/>
          <w:color w:val="000000"/>
          <w:sz w:val="20"/>
          <w:szCs w:val="20"/>
          <w:lang w:val="fi-FI"/>
        </w:rPr>
        <w:t xml:space="preserve"> </w:t>
      </w:r>
    </w:p>
    <w:p w14:paraId="022D650A" w14:textId="77777777" w:rsidR="00601720" w:rsidRPr="00601720" w:rsidRDefault="00601720" w:rsidP="00601720">
      <w:pPr>
        <w:pStyle w:val="NormalWeb"/>
        <w:spacing w:before="0" w:beforeAutospacing="0" w:after="0" w:afterAutospacing="0" w:line="276" w:lineRule="auto"/>
        <w:jc w:val="both"/>
        <w:rPr>
          <w:rFonts w:eastAsia="Cambria"/>
          <w:color w:val="000000"/>
          <w:sz w:val="20"/>
          <w:szCs w:val="20"/>
          <w:lang w:val="fi-FI"/>
        </w:rPr>
      </w:pPr>
    </w:p>
    <w:p w14:paraId="3158EFF0" w14:textId="7C7632BB" w:rsidR="001A4900" w:rsidRPr="00F17D78" w:rsidRDefault="00D2173D" w:rsidP="00601720">
      <w:pPr>
        <w:pStyle w:val="NormalWeb"/>
        <w:spacing w:before="0" w:beforeAutospacing="0" w:after="0" w:afterAutospacing="0" w:line="276" w:lineRule="auto"/>
        <w:jc w:val="both"/>
        <w:rPr>
          <w:color w:val="000000"/>
          <w:sz w:val="20"/>
          <w:szCs w:val="20"/>
          <w:lang w:val="fi-FI"/>
        </w:rPr>
      </w:pPr>
      <w:r w:rsidRPr="00D2173D">
        <w:rPr>
          <w:rFonts w:eastAsia="Cambria"/>
          <w:color w:val="000000"/>
          <w:sz w:val="20"/>
          <w:szCs w:val="20"/>
          <w:lang w:val="fi-FI"/>
        </w:rPr>
        <w:lastRenderedPageBreak/>
        <w:t>Atas sejumlah uraian yang telah disampaikan</w:t>
      </w:r>
      <w:r>
        <w:rPr>
          <w:rFonts w:eastAsia="Cambria"/>
          <w:color w:val="000000"/>
          <w:sz w:val="20"/>
          <w:szCs w:val="20"/>
          <w:lang w:val="fi-FI"/>
        </w:rPr>
        <w:t xml:space="preserve"> sebelumnya, maka peneliti merasa perlu untuk melakukan penelitian terhadap ekstrak bawang hitam yang akan diintervensikan pada tikus putih jantan untuk dapat mengetahui kemampuan aktivitas antiinflamasinya menggunakan model inflamasi. </w:t>
      </w:r>
      <w:r w:rsidRPr="00F17D78">
        <w:rPr>
          <w:rFonts w:eastAsia="Cambria"/>
          <w:color w:val="000000"/>
          <w:sz w:val="20"/>
          <w:szCs w:val="20"/>
          <w:lang w:val="fi-FI"/>
        </w:rPr>
        <w:t>Penelitian ini akan memberikan</w:t>
      </w:r>
      <w:r w:rsidR="00F17D78" w:rsidRPr="00F17D78">
        <w:rPr>
          <w:rFonts w:eastAsia="Cambria"/>
          <w:color w:val="000000"/>
          <w:sz w:val="20"/>
          <w:szCs w:val="20"/>
          <w:lang w:val="fi-FI"/>
        </w:rPr>
        <w:t xml:space="preserve"> </w:t>
      </w:r>
      <w:r w:rsidRPr="00F17D78">
        <w:rPr>
          <w:rFonts w:eastAsia="Cambria"/>
          <w:color w:val="000000"/>
          <w:sz w:val="20"/>
          <w:szCs w:val="20"/>
          <w:lang w:val="fi-FI"/>
        </w:rPr>
        <w:t xml:space="preserve">informasi mengenai </w:t>
      </w:r>
      <w:r w:rsidR="00F17D78" w:rsidRPr="00F17D78">
        <w:rPr>
          <w:rFonts w:eastAsia="Cambria"/>
          <w:color w:val="000000"/>
          <w:sz w:val="20"/>
          <w:szCs w:val="20"/>
          <w:lang w:val="fi-FI"/>
        </w:rPr>
        <w:t>manfaat bawang hitam sebagai alternatif pengobatan herbal dalam menc</w:t>
      </w:r>
      <w:r w:rsidR="00F17D78">
        <w:rPr>
          <w:rFonts w:eastAsia="Cambria"/>
          <w:color w:val="000000"/>
          <w:sz w:val="20"/>
          <w:szCs w:val="20"/>
          <w:lang w:val="fi-FI"/>
        </w:rPr>
        <w:t>egah terjadinya proses inflamasi dalam tubuh</w:t>
      </w:r>
    </w:p>
    <w:p w14:paraId="079E3FC9" w14:textId="77777777" w:rsidR="00F44E68" w:rsidRPr="00F17D78" w:rsidRDefault="00F44E68" w:rsidP="001A4900">
      <w:pPr>
        <w:pStyle w:val="NormalWeb"/>
        <w:spacing w:before="0" w:beforeAutospacing="0" w:after="0" w:afterAutospacing="0" w:line="276" w:lineRule="auto"/>
        <w:jc w:val="both"/>
        <w:rPr>
          <w:color w:val="000000"/>
          <w:sz w:val="20"/>
          <w:szCs w:val="20"/>
          <w:lang w:val="fi-FI"/>
        </w:rPr>
      </w:pPr>
    </w:p>
    <w:p w14:paraId="03E968FF" w14:textId="7FBFD4D1" w:rsidR="00496403" w:rsidRPr="00496403" w:rsidRDefault="00496403" w:rsidP="00544D7B">
      <w:pPr>
        <w:pStyle w:val="NormalWeb"/>
        <w:numPr>
          <w:ilvl w:val="0"/>
          <w:numId w:val="9"/>
        </w:numPr>
        <w:spacing w:before="0" w:beforeAutospacing="0" w:after="0" w:afterAutospacing="0" w:line="276" w:lineRule="auto"/>
        <w:ind w:left="270" w:hanging="270"/>
        <w:jc w:val="both"/>
        <w:rPr>
          <w:b/>
          <w:i/>
        </w:rPr>
      </w:pPr>
      <w:r w:rsidRPr="00496403">
        <w:rPr>
          <w:b/>
        </w:rPr>
        <w:t>MET</w:t>
      </w:r>
      <w:r w:rsidR="000A53A5">
        <w:rPr>
          <w:b/>
        </w:rPr>
        <w:t>ODE</w:t>
      </w:r>
    </w:p>
    <w:p w14:paraId="26902C4A" w14:textId="22836F9A" w:rsidR="000A53A5" w:rsidRDefault="000A53A5" w:rsidP="00C641F2">
      <w:pPr>
        <w:pStyle w:val="Els-body-text"/>
        <w:spacing w:line="276" w:lineRule="auto"/>
        <w:ind w:firstLine="0"/>
        <w:rPr>
          <w:b/>
        </w:rPr>
      </w:pPr>
      <w:r>
        <w:rPr>
          <w:b/>
        </w:rPr>
        <w:t>Desain Penelitian</w:t>
      </w:r>
    </w:p>
    <w:p w14:paraId="06BA057A" w14:textId="3C343D50" w:rsidR="000A53A5" w:rsidRPr="00FC4CE4" w:rsidRDefault="00FC4CE4" w:rsidP="00C641F2">
      <w:pPr>
        <w:pStyle w:val="Els-body-text"/>
        <w:spacing w:line="276" w:lineRule="auto"/>
        <w:ind w:firstLine="0"/>
        <w:rPr>
          <w:bCs/>
        </w:rPr>
      </w:pPr>
      <w:r w:rsidRPr="00FC4CE4">
        <w:rPr>
          <w:bCs/>
        </w:rPr>
        <w:t>Penelitian ini menggunakan desain eksperimental dengan pemberian perlakuan secara terkontrol untuk mengevaluasi aktivitas antiinflamasi bawang hitam pada hewan uji yang telah diinduksi inflamasi. Efek perlakuan dinilai melalui perubahan parameter inflamasi dan dibandingkan dengan kelompok kontrol untuk memperoleh hasil yang objektif dan terukur.</w:t>
      </w:r>
    </w:p>
    <w:p w14:paraId="2D01BA1F" w14:textId="77777777" w:rsidR="000A53A5" w:rsidRPr="00FC4CE4" w:rsidRDefault="000A53A5" w:rsidP="00C641F2">
      <w:pPr>
        <w:pStyle w:val="Els-body-text"/>
        <w:spacing w:line="276" w:lineRule="auto"/>
        <w:ind w:firstLine="0"/>
        <w:rPr>
          <w:bCs/>
        </w:rPr>
      </w:pPr>
    </w:p>
    <w:p w14:paraId="574B1831" w14:textId="72F8F4EA" w:rsidR="00F3750A" w:rsidRPr="00A04138" w:rsidRDefault="000A53A5" w:rsidP="00C641F2">
      <w:pPr>
        <w:pStyle w:val="Els-body-text"/>
        <w:spacing w:line="276" w:lineRule="auto"/>
        <w:ind w:firstLine="0"/>
        <w:rPr>
          <w:b/>
        </w:rPr>
      </w:pPr>
      <w:r w:rsidRPr="00A04138">
        <w:rPr>
          <w:b/>
        </w:rPr>
        <w:t>Alat dan Bahan</w:t>
      </w:r>
    </w:p>
    <w:p w14:paraId="57182017" w14:textId="35B053B9" w:rsidR="00F3750A" w:rsidRPr="00A04138" w:rsidRDefault="00FC4CE4" w:rsidP="00C641F2">
      <w:pPr>
        <w:pStyle w:val="Els-body-text"/>
        <w:spacing w:line="276" w:lineRule="auto"/>
        <w:ind w:firstLine="0"/>
        <w:rPr>
          <w:bCs/>
        </w:rPr>
      </w:pPr>
      <w:r w:rsidRPr="00A04138">
        <w:rPr>
          <w:bCs/>
        </w:rPr>
        <w:t>Peralatan yang digunakan meliputi timbangan analitik (Ohaus), blender (Philips), ayakan (Retsch), toples kaca (Pyrex), magnetic stirrer (IKA), kertas saring (Whatman), rotary evaporator (IKA), water bath (Memmert), gelas ukur, gelas beker, dan Erlenmeyer (Pyrex), sonde oral (Instech Laboratories), spuit injeksi 1 mL (OneMed), plethysmometer (Ugo Basile), kandang hewan uji (Tecniplast), termometer (Hanna Instruments), dan higrometer (Testo). Bahan yang digunakan terdiri atas bawang putih tunggal (Allium sativum L.), etanol 96%, akuades, karagenan 1%, natrium diklofenak, CMC 1%, tikus putih jantan, pakan standar, dan air minum untuk hewan uji.</w:t>
      </w:r>
    </w:p>
    <w:p w14:paraId="6CAB0DE7" w14:textId="77777777" w:rsidR="00F3750A" w:rsidRPr="00A04138" w:rsidRDefault="00F3750A" w:rsidP="00C641F2">
      <w:pPr>
        <w:pStyle w:val="Els-body-text"/>
        <w:spacing w:line="276" w:lineRule="auto"/>
        <w:ind w:firstLine="0"/>
        <w:rPr>
          <w:bCs/>
        </w:rPr>
      </w:pPr>
    </w:p>
    <w:p w14:paraId="438E2F11" w14:textId="45B6184D" w:rsidR="00EA4E15" w:rsidRPr="00A04138" w:rsidRDefault="000A53A5" w:rsidP="00EA4E15">
      <w:pPr>
        <w:pStyle w:val="Els-body-text"/>
        <w:spacing w:line="276" w:lineRule="auto"/>
        <w:ind w:firstLine="0"/>
        <w:rPr>
          <w:b/>
        </w:rPr>
      </w:pPr>
      <w:r w:rsidRPr="00A04138">
        <w:rPr>
          <w:b/>
        </w:rPr>
        <w:t>Prosedur Kerja</w:t>
      </w:r>
    </w:p>
    <w:p w14:paraId="2402C712" w14:textId="71360589" w:rsidR="00C3304D" w:rsidRPr="00A04138" w:rsidRDefault="00D276FF" w:rsidP="00C3304D">
      <w:pPr>
        <w:pStyle w:val="Els-body-text"/>
        <w:spacing w:line="276" w:lineRule="auto"/>
        <w:ind w:firstLine="0"/>
        <w:rPr>
          <w:b/>
          <w:bCs/>
        </w:rPr>
      </w:pPr>
      <w:r w:rsidRPr="00A04138">
        <w:rPr>
          <w:b/>
          <w:bCs/>
        </w:rPr>
        <w:t xml:space="preserve">1. </w:t>
      </w:r>
      <w:r w:rsidR="00FC4CE4" w:rsidRPr="00A04138">
        <w:rPr>
          <w:b/>
          <w:bCs/>
        </w:rPr>
        <w:t>Fermentasi</w:t>
      </w:r>
    </w:p>
    <w:p w14:paraId="199BCED7" w14:textId="153E3CD6" w:rsidR="00C3304D" w:rsidRPr="00A04138" w:rsidRDefault="00FC4CE4" w:rsidP="00C3304D">
      <w:pPr>
        <w:pStyle w:val="Els-body-text"/>
        <w:spacing w:line="276" w:lineRule="auto"/>
        <w:ind w:firstLine="0"/>
      </w:pPr>
      <w:r w:rsidRPr="00A04138">
        <w:t xml:space="preserve">Bawang putih tunggal disortasi untuk memperoleh umbi yang utuh, tidak busuk, telah bersih dari kulit terluar, dan berukuran relatif seragam agar proses pemanasan berlangsung merata. Setiap umbi kemudian dibungkus aluminium foil dan ditempatkan dalam magic com pada suhu 60°C dengan posisi tidak saling bersentuhan. Proses pematangan dilakukan selama 14 hari. Setelah selesai, bawang dikeluarkan, didinginkan, dan aluminium foil dilepaskan secara perlahan </w:t>
      </w:r>
      <w:r w:rsidR="00B94D9E" w:rsidRPr="00A04138">
        <w:t>[</w:t>
      </w:r>
      <w:r w:rsidR="00126DF2" w:rsidRPr="00A04138">
        <w:t>9</w:t>
      </w:r>
      <w:r w:rsidR="00B94D9E" w:rsidRPr="00A04138">
        <w:t>]</w:t>
      </w:r>
      <w:r w:rsidR="000569EE" w:rsidRPr="00A04138">
        <w:t>.</w:t>
      </w:r>
    </w:p>
    <w:p w14:paraId="095AC4A8" w14:textId="77777777" w:rsidR="00C3304D" w:rsidRPr="00A04138" w:rsidRDefault="00C3304D" w:rsidP="00C3304D">
      <w:pPr>
        <w:pStyle w:val="Els-body-text"/>
        <w:spacing w:line="276" w:lineRule="auto"/>
      </w:pPr>
    </w:p>
    <w:p w14:paraId="7A371D7F" w14:textId="628EA7EA" w:rsidR="00C3304D" w:rsidRPr="00A04138" w:rsidRDefault="00D276FF" w:rsidP="00C3304D">
      <w:pPr>
        <w:pStyle w:val="Els-body-text"/>
        <w:spacing w:line="276" w:lineRule="auto"/>
        <w:ind w:firstLine="0"/>
        <w:rPr>
          <w:b/>
          <w:bCs/>
        </w:rPr>
      </w:pPr>
      <w:r w:rsidRPr="00A04138">
        <w:rPr>
          <w:b/>
          <w:bCs/>
        </w:rPr>
        <w:t xml:space="preserve">2. </w:t>
      </w:r>
      <w:r w:rsidR="00FC4CE4" w:rsidRPr="00A04138">
        <w:rPr>
          <w:b/>
          <w:bCs/>
        </w:rPr>
        <w:t>Maserasi</w:t>
      </w:r>
    </w:p>
    <w:p w14:paraId="2F738161" w14:textId="77C9F055" w:rsidR="00C3304D" w:rsidRPr="00A04138" w:rsidRDefault="00FC4CE4" w:rsidP="00C3304D">
      <w:pPr>
        <w:pStyle w:val="Els-body-text"/>
        <w:spacing w:line="276" w:lineRule="auto"/>
        <w:ind w:firstLine="0"/>
      </w:pPr>
      <w:r w:rsidRPr="00A04138">
        <w:t>B</w:t>
      </w:r>
      <w:r w:rsidR="000569EE" w:rsidRPr="00A04138">
        <w:t xml:space="preserve">awang Hitam </w:t>
      </w:r>
      <w:r w:rsidRPr="00A04138">
        <w:t xml:space="preserve">dihaluskan, kemudian diekstraksi dengan etanol 96% selama 3 hari disertai pengadukan berkala. Campuran disaring untuk memisahkan filtrat dari residu, kemudian filtrat diuapkan menggunakan rotary evaporator pada suhu ≤40°C. Ekstrak selanjutnya dipekatkan menggunakan </w:t>
      </w:r>
      <w:r w:rsidRPr="00A04138">
        <w:rPr>
          <w:i/>
          <w:iCs/>
        </w:rPr>
        <w:t>water bath</w:t>
      </w:r>
      <w:r w:rsidRPr="00A04138">
        <w:t xml:space="preserve"> pada suhu 70°C hingga diperoleh ekstrak kental </w:t>
      </w:r>
      <w:r w:rsidR="00B94D9E" w:rsidRPr="00A04138">
        <w:t>[1</w:t>
      </w:r>
      <w:r w:rsidR="00126DF2" w:rsidRPr="00A04138">
        <w:t>0</w:t>
      </w:r>
      <w:r w:rsidR="00B94D9E" w:rsidRPr="00A04138">
        <w:t>]</w:t>
      </w:r>
      <w:r w:rsidR="000569EE" w:rsidRPr="00A04138">
        <w:t xml:space="preserve">. </w:t>
      </w:r>
    </w:p>
    <w:p w14:paraId="7D3743F8" w14:textId="77777777" w:rsidR="00C3304D" w:rsidRPr="00A04138" w:rsidRDefault="00C3304D" w:rsidP="00C3304D">
      <w:pPr>
        <w:pStyle w:val="Els-body-text"/>
        <w:spacing w:line="276" w:lineRule="auto"/>
      </w:pPr>
    </w:p>
    <w:p w14:paraId="4C378A36" w14:textId="699B4D50" w:rsidR="00C3304D" w:rsidRPr="00A04138" w:rsidRDefault="00D276FF" w:rsidP="00C3304D">
      <w:pPr>
        <w:pStyle w:val="Els-body-text"/>
        <w:spacing w:line="276" w:lineRule="auto"/>
        <w:ind w:firstLine="0"/>
        <w:rPr>
          <w:b/>
          <w:bCs/>
        </w:rPr>
      </w:pPr>
      <w:r w:rsidRPr="00A04138">
        <w:rPr>
          <w:b/>
          <w:bCs/>
        </w:rPr>
        <w:t xml:space="preserve">3. </w:t>
      </w:r>
      <w:r w:rsidR="00FC4CE4" w:rsidRPr="00A04138">
        <w:rPr>
          <w:b/>
          <w:bCs/>
        </w:rPr>
        <w:t>Induksi Karagenan</w:t>
      </w:r>
    </w:p>
    <w:p w14:paraId="09BE230C" w14:textId="32F6CE28" w:rsidR="00C3304D" w:rsidRPr="00A04138" w:rsidRDefault="00FC4CE4" w:rsidP="00D276FF">
      <w:pPr>
        <w:pStyle w:val="Els-body-text"/>
        <w:spacing w:line="276" w:lineRule="auto"/>
        <w:ind w:firstLine="0"/>
      </w:pPr>
      <w:r w:rsidRPr="00A04138">
        <w:t>Prosedur induksi inflamasi pada mencit dilakukan dengan memuasakan mencit selama ±8 jam (tetap diberi minum), kemudian ditimbang dan diberi tanda pada punggung. Volume awal kaki (V0) diukur menggunakan plestimometer. Mencit kemudian diberikan perlakuan sebanyak 1 ml, dan setelah 30 menit diinjeksi karagenan 1% sebanyak 0,1 ml pada telapak kaki belakang kiri. Volume edema diukur setiap 30 menit selama 3 jam, lalu dicatat untuk menghitung selisih volume kaki sebelum dan setelah induksi inflamasi</w:t>
      </w:r>
      <w:r w:rsidR="00B94D9E" w:rsidRPr="00A04138">
        <w:t>.</w:t>
      </w:r>
    </w:p>
    <w:p w14:paraId="5E532646" w14:textId="77777777" w:rsidR="00C3304D" w:rsidRPr="00A04138" w:rsidRDefault="00C3304D" w:rsidP="00C3304D">
      <w:pPr>
        <w:pStyle w:val="Els-body-text"/>
        <w:spacing w:line="276" w:lineRule="auto"/>
      </w:pPr>
    </w:p>
    <w:p w14:paraId="36F03DFF" w14:textId="44140FBC" w:rsidR="00C3304D" w:rsidRPr="00A04138" w:rsidRDefault="00D276FF" w:rsidP="00C3304D">
      <w:pPr>
        <w:pStyle w:val="Els-body-text"/>
        <w:spacing w:line="276" w:lineRule="auto"/>
        <w:ind w:firstLine="0"/>
        <w:rPr>
          <w:b/>
          <w:bCs/>
        </w:rPr>
      </w:pPr>
      <w:r w:rsidRPr="00A04138">
        <w:rPr>
          <w:b/>
          <w:bCs/>
        </w:rPr>
        <w:t xml:space="preserve">4. </w:t>
      </w:r>
      <w:r w:rsidR="00FC4CE4" w:rsidRPr="00A04138">
        <w:rPr>
          <w:b/>
          <w:bCs/>
        </w:rPr>
        <w:t>Skrining Fitokimia</w:t>
      </w:r>
    </w:p>
    <w:p w14:paraId="49D9D135" w14:textId="2A010CD7" w:rsidR="00EA4E15" w:rsidRPr="00A04138" w:rsidRDefault="00FC4CE4" w:rsidP="00EA4E15">
      <w:pPr>
        <w:pStyle w:val="Els-body-text"/>
        <w:spacing w:line="276" w:lineRule="auto"/>
        <w:ind w:firstLine="0"/>
      </w:pPr>
      <w:r w:rsidRPr="00A04138">
        <w:t>Pemeriksaan fitokimia dilakukan untuk mengidentifikasi kandungan metabolit sekunder dalam ekstrak. Uji flavonoid dilakukan dengan menambahkan etanol, serbuk magnesium, dan HCl pekat pada sampel; hasil positif ditandai dengan perubahan warna kuning, merah, atau jingga. Uji alkaloid dilakukan menggunakan pereaksi Mayer dan Dragendorff, dengan indikator positif berupa terbentuknya endapan putih krem hingga jingga kecokelatan. Sementara itu, uji tanin dilakukan dengan penambahan FeCl₃ 1%, yang ditandai dengan munculnya warna hijau kehitaman atau biru kehitaman sebagai indikasi keberadaan tanin</w:t>
      </w:r>
      <w:r w:rsidR="00B94D9E" w:rsidRPr="00A04138">
        <w:t>.</w:t>
      </w:r>
    </w:p>
    <w:p w14:paraId="5F7232A0" w14:textId="77777777" w:rsidR="00AB0D89" w:rsidRPr="00A04138" w:rsidRDefault="00AB0D89" w:rsidP="00EA4E15">
      <w:pPr>
        <w:pStyle w:val="Els-body-text"/>
        <w:spacing w:line="276" w:lineRule="auto"/>
        <w:ind w:firstLine="0"/>
      </w:pPr>
    </w:p>
    <w:p w14:paraId="01294859" w14:textId="1155F16D" w:rsidR="00AB0D89" w:rsidRPr="00A04138" w:rsidRDefault="00AB0D89" w:rsidP="00EA4E15">
      <w:pPr>
        <w:pStyle w:val="Els-body-text"/>
        <w:spacing w:line="276" w:lineRule="auto"/>
        <w:ind w:firstLine="0"/>
        <w:rPr>
          <w:b/>
          <w:bCs/>
        </w:rPr>
      </w:pPr>
      <w:r w:rsidRPr="00A04138">
        <w:rPr>
          <w:b/>
          <w:bCs/>
        </w:rPr>
        <w:lastRenderedPageBreak/>
        <w:t xml:space="preserve">5. </w:t>
      </w:r>
      <w:r w:rsidR="00FC4CE4" w:rsidRPr="00A04138">
        <w:rPr>
          <w:b/>
          <w:bCs/>
        </w:rPr>
        <w:t>Uji Antiinflamasi dan Analisis Data</w:t>
      </w:r>
    </w:p>
    <w:p w14:paraId="743F6822" w14:textId="69F783F1" w:rsidR="00AB0D89" w:rsidRPr="00A04138" w:rsidRDefault="00FC4CE4" w:rsidP="00EA4E15">
      <w:pPr>
        <w:pStyle w:val="Els-body-text"/>
        <w:spacing w:line="276" w:lineRule="auto"/>
        <w:ind w:firstLine="0"/>
      </w:pPr>
      <w:r w:rsidRPr="00A04138">
        <w:t>Kaki kiri belakang tikus diberi tanda dan diukur volume awal (V0) menggunakan pletismometer sebelum perlakuan. Setelah 3 jam pemberian bahan uji, kaki tikus diinjeksi secara subplantar dengan 0,1 ml karagenin 1%, kemudian volume edema (Vt) diukur setiap 1 jam selama 6 jam. Hewan uji dibagi menjadi enam kelompok, yaitu kontrol negatif (Na-CMC 1%), kontrol positif (natrium diklofenak 10 mg/kgBB), tiga kelompok perlakuan ekstrak bawang hitam dengan dosis 100, 200, dan 400 mg/kgBB, serta kelompok normal. Data dianalisis menggunakan paired t-test untuk efektivitas tiap kelompok, independent t-test untuk perbandingan kontrol, One Way ANOVA untuk perbedaan antar kelompok, dan Post Hoc Test untuk menentukan kesesuaian dosis menggunakan program SPSS</w:t>
      </w:r>
    </w:p>
    <w:p w14:paraId="23A51D60" w14:textId="77777777" w:rsidR="00AB0D89" w:rsidRPr="00A04138" w:rsidRDefault="00AB0D89" w:rsidP="00EA4E15">
      <w:pPr>
        <w:pStyle w:val="Els-body-text"/>
        <w:spacing w:line="276" w:lineRule="auto"/>
        <w:ind w:firstLine="0"/>
      </w:pPr>
    </w:p>
    <w:p w14:paraId="229C8AC7" w14:textId="09BD0F45" w:rsidR="00496403" w:rsidRDefault="00D276FF" w:rsidP="00544D7B">
      <w:pPr>
        <w:pStyle w:val="Els-body-text"/>
        <w:numPr>
          <w:ilvl w:val="0"/>
          <w:numId w:val="9"/>
        </w:numPr>
        <w:spacing w:line="276" w:lineRule="auto"/>
        <w:ind w:left="284" w:hanging="284"/>
        <w:rPr>
          <w:b/>
        </w:rPr>
      </w:pPr>
      <w:r w:rsidRPr="00552DBC">
        <w:rPr>
          <w:b/>
        </w:rPr>
        <w:t>HASIL</w:t>
      </w:r>
    </w:p>
    <w:p w14:paraId="2302C0F2" w14:textId="04E2BEBC" w:rsidR="00FC4CE4" w:rsidRPr="00552DBC" w:rsidRDefault="003200E9" w:rsidP="00FC4CE4">
      <w:pPr>
        <w:pStyle w:val="Els-body-text"/>
        <w:spacing w:line="276" w:lineRule="auto"/>
        <w:ind w:firstLine="0"/>
        <w:rPr>
          <w:b/>
        </w:rPr>
      </w:pPr>
      <w:r>
        <w:rPr>
          <w:b/>
        </w:rPr>
        <w:t>3.1 Hasil Fermentasi</w:t>
      </w:r>
    </w:p>
    <w:p w14:paraId="4128B393" w14:textId="08DA853D" w:rsidR="00273503" w:rsidRPr="004230E5" w:rsidRDefault="00D059BA" w:rsidP="00273503">
      <w:pPr>
        <w:spacing w:line="276" w:lineRule="auto"/>
        <w:jc w:val="both"/>
        <w:rPr>
          <w:rFonts w:eastAsiaTheme="minorHAnsi"/>
        </w:rPr>
      </w:pPr>
      <w:r>
        <w:rPr>
          <w:rFonts w:eastAsiaTheme="minorHAnsi"/>
        </w:rPr>
        <w:t>Prose</w:t>
      </w:r>
      <w:r w:rsidR="00B94D9E">
        <w:rPr>
          <w:rFonts w:eastAsiaTheme="minorHAnsi"/>
        </w:rPr>
        <w:t>s</w:t>
      </w:r>
      <w:r w:rsidR="004230E5" w:rsidRPr="004230E5">
        <w:rPr>
          <w:rFonts w:eastAsiaTheme="minorHAnsi"/>
        </w:rPr>
        <w:t xml:space="preserve"> fermentasi dilakukan </w:t>
      </w:r>
      <w:r>
        <w:rPr>
          <w:rFonts w:eastAsiaTheme="minorHAnsi"/>
        </w:rPr>
        <w:t>terhadap</w:t>
      </w:r>
      <w:r w:rsidR="004230E5" w:rsidRPr="004230E5">
        <w:rPr>
          <w:rFonts w:eastAsiaTheme="minorHAnsi"/>
        </w:rPr>
        <w:t xml:space="preserve"> bawang putih </w:t>
      </w:r>
      <w:r>
        <w:rPr>
          <w:rFonts w:eastAsiaTheme="minorHAnsi"/>
        </w:rPr>
        <w:t xml:space="preserve">tunggal setelah dikupas sebanyak 2 kg, yang mana proses fermentasinya dilakukan </w:t>
      </w:r>
      <w:r w:rsidR="004230E5" w:rsidRPr="004230E5">
        <w:rPr>
          <w:rFonts w:eastAsiaTheme="minorHAnsi"/>
        </w:rPr>
        <w:t>selama 14 hari pada suhu yang terkontrol</w:t>
      </w:r>
      <w:r w:rsidR="004230E5">
        <w:rPr>
          <w:rFonts w:eastAsiaTheme="minorHAnsi"/>
        </w:rPr>
        <w:t xml:space="preserve"> yaitu suhu 60</w:t>
      </w:r>
      <w:r w:rsidR="004230E5" w:rsidRPr="004230E5">
        <w:rPr>
          <w:rFonts w:eastAsiaTheme="minorHAnsi"/>
          <w:vertAlign w:val="superscript"/>
        </w:rPr>
        <w:t>o</w:t>
      </w:r>
      <w:r w:rsidR="004230E5">
        <w:rPr>
          <w:rFonts w:eastAsiaTheme="minorHAnsi"/>
        </w:rPr>
        <w:t>C</w:t>
      </w:r>
      <w:r w:rsidR="004230E5" w:rsidRPr="004230E5">
        <w:rPr>
          <w:rFonts w:eastAsiaTheme="minorHAnsi"/>
        </w:rPr>
        <w:t>.</w:t>
      </w:r>
      <w:r w:rsidR="004230E5">
        <w:rPr>
          <w:rFonts w:eastAsiaTheme="minorHAnsi"/>
        </w:rPr>
        <w:t xml:space="preserve"> </w:t>
      </w:r>
      <w:r w:rsidR="004230E5" w:rsidRPr="004230E5">
        <w:rPr>
          <w:rFonts w:eastAsiaTheme="minorHAnsi"/>
        </w:rPr>
        <w:t>Pemantauan terhadap proses fermentasi dilakukan pada hari ke-0, hari ke-7, dan terakhir hari ke 14 sehingga menghasilkan karakteristik dan kon</w:t>
      </w:r>
      <w:r w:rsidR="004230E5">
        <w:rPr>
          <w:rFonts w:eastAsiaTheme="minorHAnsi"/>
        </w:rPr>
        <w:t xml:space="preserve">disi yang beragam terhadap bawang putih seperti yang disajikan pada tabel 1. </w:t>
      </w:r>
    </w:p>
    <w:p w14:paraId="590F5AC9" w14:textId="77777777" w:rsidR="00552DBC" w:rsidRPr="004230E5" w:rsidRDefault="00552DBC" w:rsidP="00273503">
      <w:pPr>
        <w:spacing w:line="276" w:lineRule="auto"/>
        <w:jc w:val="both"/>
        <w:rPr>
          <w:rFonts w:eastAsiaTheme="minorHAnsi"/>
        </w:rPr>
      </w:pPr>
    </w:p>
    <w:p w14:paraId="5329BD16" w14:textId="3857C305" w:rsidR="00606CE4" w:rsidRDefault="00C66657" w:rsidP="00273503">
      <w:pPr>
        <w:spacing w:line="276" w:lineRule="auto"/>
        <w:jc w:val="center"/>
        <w:rPr>
          <w:rFonts w:eastAsiaTheme="minorHAnsi"/>
        </w:rPr>
      </w:pPr>
      <w:r w:rsidRPr="00C66657">
        <w:rPr>
          <w:rFonts w:eastAsiaTheme="minorHAnsi"/>
        </w:rPr>
        <w:t>Tab</w:t>
      </w:r>
      <w:r w:rsidR="00552DBC">
        <w:rPr>
          <w:rFonts w:eastAsiaTheme="minorHAnsi"/>
        </w:rPr>
        <w:t>el</w:t>
      </w:r>
      <w:r w:rsidRPr="00C66657">
        <w:rPr>
          <w:rFonts w:eastAsiaTheme="minorHAnsi"/>
        </w:rPr>
        <w:t xml:space="preserve"> 1. </w:t>
      </w:r>
      <w:r w:rsidR="00197F58">
        <w:rPr>
          <w:rFonts w:eastAsiaTheme="minorHAnsi"/>
        </w:rPr>
        <w:t>Proses dan Hasil Fermentasi</w:t>
      </w:r>
    </w:p>
    <w:tbl>
      <w:tblPr>
        <w:tblStyle w:val="PlainTable21"/>
        <w:tblW w:w="0" w:type="auto"/>
        <w:jc w:val="center"/>
        <w:tblBorders>
          <w:bottom w:val="single" w:sz="4" w:space="0" w:color="auto"/>
          <w:insideH w:val="single" w:sz="4" w:space="0" w:color="7F7F7F" w:themeColor="text1" w:themeTint="80"/>
        </w:tblBorders>
        <w:tblLook w:val="04A0" w:firstRow="1" w:lastRow="0" w:firstColumn="1" w:lastColumn="0" w:noHBand="0" w:noVBand="1"/>
      </w:tblPr>
      <w:tblGrid>
        <w:gridCol w:w="1294"/>
        <w:gridCol w:w="7353"/>
      </w:tblGrid>
      <w:tr w:rsidR="00197F58" w:rsidRPr="00197F58" w14:paraId="6CDC8074" w14:textId="77777777" w:rsidTr="00197F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4" w:type="dxa"/>
            <w:tcBorders>
              <w:top w:val="single" w:sz="4" w:space="0" w:color="auto"/>
              <w:bottom w:val="single" w:sz="4" w:space="0" w:color="auto"/>
            </w:tcBorders>
          </w:tcPr>
          <w:p w14:paraId="10C6C083" w14:textId="77777777" w:rsidR="00197F58" w:rsidRPr="006F40CF" w:rsidRDefault="00197F58" w:rsidP="00197F58">
            <w:pPr>
              <w:spacing w:line="276" w:lineRule="auto"/>
              <w:jc w:val="center"/>
              <w:rPr>
                <w:rFonts w:eastAsiaTheme="minorHAnsi"/>
                <w:b w:val="0"/>
                <w:bCs w:val="0"/>
                <w:lang w:val="sv-SE"/>
              </w:rPr>
            </w:pPr>
            <w:r w:rsidRPr="006F40CF">
              <w:rPr>
                <w:rFonts w:eastAsiaTheme="minorHAnsi"/>
                <w:b w:val="0"/>
                <w:bCs w:val="0"/>
                <w:lang w:val="sv-SE"/>
              </w:rPr>
              <w:t>Pemantauan</w:t>
            </w:r>
          </w:p>
        </w:tc>
        <w:tc>
          <w:tcPr>
            <w:tcW w:w="7353" w:type="dxa"/>
            <w:tcBorders>
              <w:top w:val="single" w:sz="4" w:space="0" w:color="auto"/>
              <w:bottom w:val="single" w:sz="4" w:space="0" w:color="auto"/>
            </w:tcBorders>
          </w:tcPr>
          <w:p w14:paraId="33D426AD" w14:textId="77777777" w:rsidR="00197F58" w:rsidRPr="006F40CF" w:rsidRDefault="00197F58" w:rsidP="00197F5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lang w:val="sv-SE"/>
              </w:rPr>
            </w:pPr>
            <w:r w:rsidRPr="006F40CF">
              <w:rPr>
                <w:rFonts w:eastAsiaTheme="minorHAnsi"/>
                <w:b w:val="0"/>
                <w:bCs w:val="0"/>
                <w:lang w:val="sv-SE"/>
              </w:rPr>
              <w:t>Hasil Pemantauan</w:t>
            </w:r>
          </w:p>
        </w:tc>
      </w:tr>
      <w:tr w:rsidR="00197F58" w:rsidRPr="00197F58" w14:paraId="1D390C4B" w14:textId="77777777" w:rsidTr="00197F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4" w:type="dxa"/>
            <w:tcBorders>
              <w:top w:val="single" w:sz="4" w:space="0" w:color="auto"/>
              <w:bottom w:val="single" w:sz="4" w:space="0" w:color="auto"/>
            </w:tcBorders>
            <w:vAlign w:val="center"/>
          </w:tcPr>
          <w:p w14:paraId="6238D887" w14:textId="77777777" w:rsidR="00197F58" w:rsidRPr="00197F58" w:rsidRDefault="00197F58" w:rsidP="00197F58">
            <w:pPr>
              <w:spacing w:line="276" w:lineRule="auto"/>
              <w:jc w:val="center"/>
              <w:rPr>
                <w:rFonts w:eastAsiaTheme="minorHAnsi"/>
                <w:b w:val="0"/>
                <w:bCs w:val="0"/>
                <w:lang w:val="sv-SE"/>
              </w:rPr>
            </w:pPr>
            <w:r w:rsidRPr="00197F58">
              <w:rPr>
                <w:rFonts w:eastAsiaTheme="minorHAnsi"/>
                <w:b w:val="0"/>
                <w:bCs w:val="0"/>
                <w:lang w:val="sv-SE"/>
              </w:rPr>
              <w:t>Hari ke- 0</w:t>
            </w:r>
          </w:p>
        </w:tc>
        <w:tc>
          <w:tcPr>
            <w:tcW w:w="7353" w:type="dxa"/>
            <w:tcBorders>
              <w:top w:val="single" w:sz="4" w:space="0" w:color="auto"/>
              <w:bottom w:val="single" w:sz="4" w:space="0" w:color="auto"/>
            </w:tcBorders>
          </w:tcPr>
          <w:p w14:paraId="39D78C95" w14:textId="77777777" w:rsidR="00197F58" w:rsidRPr="00197F58" w:rsidRDefault="00197F58" w:rsidP="00197F58">
            <w:pPr>
              <w:spacing w:line="276" w:lineRule="auto"/>
              <w:jc w:val="both"/>
              <w:cnfStyle w:val="000000100000" w:firstRow="0" w:lastRow="0" w:firstColumn="0" w:lastColumn="0" w:oddVBand="0" w:evenVBand="0" w:oddHBand="1" w:evenHBand="0" w:firstRowFirstColumn="0" w:firstRowLastColumn="0" w:lastRowFirstColumn="0" w:lastRowLastColumn="0"/>
              <w:rPr>
                <w:rFonts w:eastAsiaTheme="minorHAnsi"/>
                <w:lang w:val="sv-SE"/>
              </w:rPr>
            </w:pPr>
            <w:r w:rsidRPr="00197F58">
              <w:rPr>
                <w:rFonts w:eastAsiaTheme="minorHAnsi"/>
                <w:lang w:val="sv-SE"/>
              </w:rPr>
              <w:t xml:space="preserve">Bawang putih masih berwarna putih kekuningan, tekstur keras, aroma khas bawang putih sangat menyengat, rasa pedas, dan kadar air masih tinggi. </w:t>
            </w:r>
            <w:r w:rsidRPr="00197F58">
              <w:rPr>
                <w:rFonts w:eastAsiaTheme="minorHAnsi"/>
                <w:lang w:val="en-US"/>
              </w:rPr>
              <w:t>Belum terjadi perubahan fisik akibat fermentasi.</w:t>
            </w:r>
          </w:p>
        </w:tc>
      </w:tr>
      <w:tr w:rsidR="00197F58" w:rsidRPr="00197F58" w14:paraId="35B9E3BB" w14:textId="77777777" w:rsidTr="00197F58">
        <w:trPr>
          <w:jc w:val="center"/>
        </w:trPr>
        <w:tc>
          <w:tcPr>
            <w:cnfStyle w:val="001000000000" w:firstRow="0" w:lastRow="0" w:firstColumn="1" w:lastColumn="0" w:oddVBand="0" w:evenVBand="0" w:oddHBand="0" w:evenHBand="0" w:firstRowFirstColumn="0" w:firstRowLastColumn="0" w:lastRowFirstColumn="0" w:lastRowLastColumn="0"/>
            <w:tcW w:w="1294" w:type="dxa"/>
            <w:tcBorders>
              <w:top w:val="single" w:sz="4" w:space="0" w:color="auto"/>
              <w:bottom w:val="single" w:sz="4" w:space="0" w:color="auto"/>
            </w:tcBorders>
            <w:vAlign w:val="center"/>
          </w:tcPr>
          <w:p w14:paraId="30995CC2" w14:textId="77777777" w:rsidR="00197F58" w:rsidRPr="00197F58" w:rsidRDefault="00197F58" w:rsidP="00197F58">
            <w:pPr>
              <w:spacing w:line="276" w:lineRule="auto"/>
              <w:jc w:val="center"/>
              <w:rPr>
                <w:rFonts w:eastAsiaTheme="minorHAnsi"/>
                <w:b w:val="0"/>
                <w:bCs w:val="0"/>
                <w:lang w:val="sv-SE"/>
              </w:rPr>
            </w:pPr>
            <w:r w:rsidRPr="00197F58">
              <w:rPr>
                <w:rFonts w:eastAsiaTheme="minorHAnsi"/>
                <w:b w:val="0"/>
                <w:bCs w:val="0"/>
                <w:lang w:val="sv-SE"/>
              </w:rPr>
              <w:t>Hari ke- 7</w:t>
            </w:r>
          </w:p>
        </w:tc>
        <w:tc>
          <w:tcPr>
            <w:tcW w:w="7353" w:type="dxa"/>
            <w:tcBorders>
              <w:top w:val="single" w:sz="4" w:space="0" w:color="auto"/>
              <w:bottom w:val="single" w:sz="4" w:space="0" w:color="auto"/>
            </w:tcBorders>
          </w:tcPr>
          <w:p w14:paraId="06884B35" w14:textId="77777777" w:rsidR="00197F58" w:rsidRPr="00197F58" w:rsidRDefault="00197F58" w:rsidP="00197F58">
            <w:pPr>
              <w:spacing w:line="276" w:lineRule="auto"/>
              <w:jc w:val="both"/>
              <w:cnfStyle w:val="000000000000" w:firstRow="0" w:lastRow="0" w:firstColumn="0" w:lastColumn="0" w:oddVBand="0" w:evenVBand="0" w:oddHBand="0" w:evenHBand="0" w:firstRowFirstColumn="0" w:firstRowLastColumn="0" w:lastRowFirstColumn="0" w:lastRowLastColumn="0"/>
              <w:rPr>
                <w:rFonts w:eastAsiaTheme="minorHAnsi"/>
                <w:lang w:val="sv-SE"/>
              </w:rPr>
            </w:pPr>
            <w:r w:rsidRPr="00197F58">
              <w:rPr>
                <w:rFonts w:eastAsiaTheme="minorHAnsi"/>
                <w:lang w:val="sv-SE"/>
              </w:rPr>
              <w:t xml:space="preserve">Warna bawang mulai berubah menjadi cokelat muda hingga cokelat tua, tekstur mulai melunak, aroma menyengat mulai berkurang dan muncul aroma manis khas hasil fermentasi. </w:t>
            </w:r>
            <w:r w:rsidRPr="00197F58">
              <w:rPr>
                <w:rFonts w:eastAsiaTheme="minorHAnsi"/>
                <w:lang w:val="en-US"/>
              </w:rPr>
              <w:t>Rasa pedas mulai berkurang dan sedikit manis.</w:t>
            </w:r>
          </w:p>
        </w:tc>
      </w:tr>
      <w:tr w:rsidR="00197F58" w:rsidRPr="00E92EB3" w14:paraId="13D9C641" w14:textId="77777777" w:rsidTr="00197F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4" w:type="dxa"/>
            <w:tcBorders>
              <w:top w:val="single" w:sz="4" w:space="0" w:color="auto"/>
              <w:bottom w:val="none" w:sz="0" w:space="0" w:color="auto"/>
            </w:tcBorders>
            <w:vAlign w:val="center"/>
          </w:tcPr>
          <w:p w14:paraId="37624E9B" w14:textId="77777777" w:rsidR="00197F58" w:rsidRPr="00197F58" w:rsidRDefault="00197F58" w:rsidP="00197F58">
            <w:pPr>
              <w:spacing w:line="276" w:lineRule="auto"/>
              <w:jc w:val="center"/>
              <w:rPr>
                <w:rFonts w:eastAsiaTheme="minorHAnsi"/>
                <w:b w:val="0"/>
                <w:bCs w:val="0"/>
                <w:lang w:val="sv-SE"/>
              </w:rPr>
            </w:pPr>
            <w:r w:rsidRPr="00197F58">
              <w:rPr>
                <w:rFonts w:eastAsiaTheme="minorHAnsi"/>
                <w:b w:val="0"/>
                <w:bCs w:val="0"/>
                <w:lang w:val="sv-SE"/>
              </w:rPr>
              <w:t>Hari ke-14</w:t>
            </w:r>
          </w:p>
        </w:tc>
        <w:tc>
          <w:tcPr>
            <w:tcW w:w="7353" w:type="dxa"/>
            <w:tcBorders>
              <w:top w:val="single" w:sz="4" w:space="0" w:color="auto"/>
              <w:bottom w:val="none" w:sz="0" w:space="0" w:color="auto"/>
            </w:tcBorders>
          </w:tcPr>
          <w:p w14:paraId="516E69B3" w14:textId="77777777" w:rsidR="00197F58" w:rsidRPr="00197F58" w:rsidRDefault="00197F58" w:rsidP="00197F58">
            <w:pPr>
              <w:spacing w:line="276" w:lineRule="auto"/>
              <w:jc w:val="both"/>
              <w:cnfStyle w:val="000000100000" w:firstRow="0" w:lastRow="0" w:firstColumn="0" w:lastColumn="0" w:oddVBand="0" w:evenVBand="0" w:oddHBand="1" w:evenHBand="0" w:firstRowFirstColumn="0" w:firstRowLastColumn="0" w:lastRowFirstColumn="0" w:lastRowLastColumn="0"/>
              <w:rPr>
                <w:rFonts w:eastAsiaTheme="minorHAnsi"/>
                <w:lang w:val="sv-SE"/>
              </w:rPr>
            </w:pPr>
            <w:r w:rsidRPr="00197F58">
              <w:rPr>
                <w:rFonts w:eastAsiaTheme="minorHAnsi"/>
                <w:lang w:val="sv-SE"/>
              </w:rPr>
              <w:t>Bawang berubah menjadi hitam merata, tekstur lebih lunak dan kenyal, aroma khas black garlic semakin kuat namun tidak menyengat, rasa menjadi manis dengan sedikit rasa asam, serta menunjukkan fermentasi telah berlangsung dengan baik.</w:t>
            </w:r>
          </w:p>
        </w:tc>
      </w:tr>
    </w:tbl>
    <w:p w14:paraId="11678990" w14:textId="77777777" w:rsidR="00273503" w:rsidRPr="00197F58" w:rsidRDefault="00273503" w:rsidP="00273503">
      <w:pPr>
        <w:spacing w:line="276" w:lineRule="auto"/>
        <w:jc w:val="center"/>
        <w:rPr>
          <w:rFonts w:eastAsiaTheme="minorHAnsi"/>
          <w:lang w:val="sv-SE"/>
        </w:rPr>
      </w:pPr>
    </w:p>
    <w:p w14:paraId="53D23209" w14:textId="4E0DAB04" w:rsidR="00552DBC" w:rsidRPr="007B7AA5" w:rsidRDefault="007B7AA5" w:rsidP="00552DBC">
      <w:pPr>
        <w:spacing w:line="276" w:lineRule="auto"/>
        <w:jc w:val="both"/>
        <w:rPr>
          <w:rFonts w:eastAsiaTheme="minorHAnsi"/>
          <w:lang w:val="sv-SE"/>
        </w:rPr>
      </w:pPr>
      <w:r>
        <w:rPr>
          <w:rFonts w:eastAsiaTheme="minorHAnsi"/>
          <w:lang w:val="sv-SE"/>
        </w:rPr>
        <w:t xml:space="preserve">Tabel 1 menegaskan bahwa setelah 14 hari dilakukan proses fermentasi menunjukan bahwa bawang putih berubah menjadi berwarna hitam, tektur lebih lunak, muncul aroma khas bawang namun tidak menyengat, rasa menjadi manis sedikit asam. Berdasarkan keadaan tersebut, maka dapat dinyatakan bahwa proses fermentasi bawang putih telah berjalan dengan baik. Hal yang paling kontras dapat dilihat </w:t>
      </w:r>
      <w:r w:rsidR="00D059BA">
        <w:rPr>
          <w:rFonts w:eastAsiaTheme="minorHAnsi"/>
          <w:lang w:val="sv-SE"/>
        </w:rPr>
        <w:t xml:space="preserve">terjadi penurunan berat bawang menjadi 1.5 kg setelah difermentasi, </w:t>
      </w:r>
      <w:r>
        <w:rPr>
          <w:rFonts w:eastAsiaTheme="minorHAnsi"/>
          <w:lang w:val="sv-SE"/>
        </w:rPr>
        <w:t xml:space="preserve">warna bawang putih saat fermentasi 0 hingga 14 hari </w:t>
      </w:r>
      <w:r w:rsidR="00D059BA">
        <w:rPr>
          <w:rFonts w:eastAsiaTheme="minorHAnsi"/>
          <w:lang w:val="sv-SE"/>
        </w:rPr>
        <w:t>berubah dari</w:t>
      </w:r>
      <w:r>
        <w:rPr>
          <w:rFonts w:eastAsiaTheme="minorHAnsi"/>
          <w:lang w:val="sv-SE"/>
        </w:rPr>
        <w:t xml:space="preserve"> warna putih, cokelat, hingga menjadi hitam. Selain itu, semakin lama fermentasi dilakukan tekstur menjadi lebih kenyal dan bau menjadi kurang menyengat.   </w:t>
      </w:r>
    </w:p>
    <w:p w14:paraId="41D671A4" w14:textId="77777777" w:rsidR="00552DBC" w:rsidRPr="007B7AA5" w:rsidRDefault="00552DBC" w:rsidP="00552DBC">
      <w:pPr>
        <w:spacing w:line="276" w:lineRule="auto"/>
        <w:jc w:val="both"/>
        <w:rPr>
          <w:rFonts w:eastAsiaTheme="minorHAnsi"/>
          <w:lang w:val="sv-SE"/>
        </w:rPr>
      </w:pPr>
    </w:p>
    <w:p w14:paraId="71734B55" w14:textId="3B66E826" w:rsidR="00197F58" w:rsidRPr="00A04138" w:rsidRDefault="00197F58" w:rsidP="00197F58">
      <w:pPr>
        <w:pStyle w:val="Els-body-text"/>
        <w:spacing w:line="276" w:lineRule="auto"/>
        <w:ind w:firstLine="0"/>
        <w:rPr>
          <w:b/>
          <w:lang w:val="sv-SE"/>
        </w:rPr>
      </w:pPr>
      <w:r w:rsidRPr="00A04138">
        <w:rPr>
          <w:b/>
          <w:lang w:val="sv-SE"/>
        </w:rPr>
        <w:t>3.2 Hasil Ekstraksi</w:t>
      </w:r>
    </w:p>
    <w:p w14:paraId="51463FEC" w14:textId="34C34178" w:rsidR="007658DB" w:rsidRPr="00A04138" w:rsidRDefault="007B7AA5" w:rsidP="00552DBC">
      <w:pPr>
        <w:spacing w:line="276" w:lineRule="auto"/>
        <w:jc w:val="both"/>
        <w:rPr>
          <w:rFonts w:eastAsiaTheme="minorHAnsi"/>
          <w:lang w:val="sv-SE"/>
        </w:rPr>
      </w:pPr>
      <w:r w:rsidRPr="00A04138">
        <w:rPr>
          <w:rFonts w:eastAsiaTheme="minorHAnsi"/>
          <w:lang w:val="sv-SE"/>
        </w:rPr>
        <w:t xml:space="preserve">Bawang hitam </w:t>
      </w:r>
      <w:r w:rsidR="00461ADB" w:rsidRPr="00A04138">
        <w:rPr>
          <w:rFonts w:eastAsiaTheme="minorHAnsi"/>
          <w:lang w:val="sv-SE"/>
        </w:rPr>
        <w:t>hasil fermentasi</w:t>
      </w:r>
      <w:r w:rsidRPr="00A04138">
        <w:rPr>
          <w:rFonts w:eastAsiaTheme="minorHAnsi"/>
          <w:lang w:val="sv-SE"/>
        </w:rPr>
        <w:t xml:space="preserve"> sebanyak </w:t>
      </w:r>
      <w:r w:rsidR="00461ADB" w:rsidRPr="00A04138">
        <w:rPr>
          <w:rFonts w:eastAsiaTheme="minorHAnsi"/>
          <w:lang w:val="sv-SE"/>
        </w:rPr>
        <w:t>1,5</w:t>
      </w:r>
      <w:r w:rsidRPr="00A04138">
        <w:rPr>
          <w:rFonts w:eastAsiaTheme="minorHAnsi"/>
          <w:lang w:val="sv-SE"/>
        </w:rPr>
        <w:t xml:space="preserve"> </w:t>
      </w:r>
      <w:r w:rsidR="00461ADB" w:rsidRPr="00A04138">
        <w:rPr>
          <w:rFonts w:eastAsiaTheme="minorHAnsi"/>
          <w:lang w:val="sv-SE"/>
        </w:rPr>
        <w:t>k</w:t>
      </w:r>
      <w:r w:rsidRPr="00A04138">
        <w:rPr>
          <w:rFonts w:eastAsiaTheme="minorHAnsi"/>
          <w:lang w:val="sv-SE"/>
        </w:rPr>
        <w:t>g</w:t>
      </w:r>
      <w:r w:rsidR="00D059BA" w:rsidRPr="00A04138">
        <w:rPr>
          <w:rFonts w:eastAsiaTheme="minorHAnsi"/>
          <w:lang w:val="sv-SE"/>
        </w:rPr>
        <w:t xml:space="preserve"> diproses menjadi serbuk bawang hingga beratnya menjadi 750 gr</w:t>
      </w:r>
      <w:r w:rsidRPr="00A04138">
        <w:rPr>
          <w:rFonts w:eastAsiaTheme="minorHAnsi"/>
          <w:lang w:val="sv-SE"/>
        </w:rPr>
        <w:t>. Serbuk simplisia kemudian diekstraksi secara maserasi menggunakan etanol 96% sebanyak 7,5 L selama 3 × 24 jam. Filtrat hasil ekstraksi diuapkan hingga diperoleh ekstrak kental berwarna cokelat kehitaman dengan aroma khas bawang hitam</w:t>
      </w:r>
      <w:r w:rsidR="00461ADB" w:rsidRPr="00A04138">
        <w:rPr>
          <w:rFonts w:eastAsiaTheme="minorHAnsi"/>
          <w:lang w:val="sv-SE"/>
        </w:rPr>
        <w:t xml:space="preserve"> sebesar </w:t>
      </w:r>
      <w:r w:rsidR="00D059BA" w:rsidRPr="00A04138">
        <w:rPr>
          <w:rFonts w:eastAsiaTheme="minorHAnsi"/>
          <w:lang w:val="sv-SE"/>
        </w:rPr>
        <w:t>sebesar 100 gr</w:t>
      </w:r>
      <w:r w:rsidR="000C4919" w:rsidRPr="00A04138">
        <w:rPr>
          <w:rFonts w:eastAsiaTheme="minorHAnsi"/>
          <w:lang w:val="sv-SE"/>
        </w:rPr>
        <w:t>, yang artinya rendemen sebesar 13,33%.</w:t>
      </w:r>
    </w:p>
    <w:p w14:paraId="5522A9E6" w14:textId="77777777" w:rsidR="00552DBC" w:rsidRPr="00A04138" w:rsidRDefault="00552DBC" w:rsidP="00552DBC">
      <w:pPr>
        <w:spacing w:line="276" w:lineRule="auto"/>
        <w:jc w:val="both"/>
        <w:rPr>
          <w:rFonts w:eastAsiaTheme="minorHAnsi"/>
          <w:lang w:val="sv-SE"/>
        </w:rPr>
      </w:pPr>
    </w:p>
    <w:p w14:paraId="1FD62D91" w14:textId="56BBB626" w:rsidR="00197F58" w:rsidRPr="00A04138" w:rsidRDefault="00197F58" w:rsidP="00197F58">
      <w:pPr>
        <w:pStyle w:val="Els-body-text"/>
        <w:spacing w:line="276" w:lineRule="auto"/>
        <w:ind w:firstLine="0"/>
        <w:rPr>
          <w:b/>
          <w:lang w:val="sv-SE"/>
        </w:rPr>
      </w:pPr>
      <w:r w:rsidRPr="00A04138">
        <w:rPr>
          <w:b/>
          <w:lang w:val="sv-SE"/>
        </w:rPr>
        <w:t>3.3 Hasil Skrining Fitokimia</w:t>
      </w:r>
    </w:p>
    <w:p w14:paraId="63005BFF" w14:textId="426B0049" w:rsidR="00197F58" w:rsidRPr="00A04138" w:rsidRDefault="00197F58" w:rsidP="00197F58">
      <w:pPr>
        <w:spacing w:line="276" w:lineRule="auto"/>
        <w:jc w:val="both"/>
        <w:rPr>
          <w:rFonts w:eastAsiaTheme="minorHAnsi"/>
          <w:lang w:val="sv-SE"/>
        </w:rPr>
      </w:pPr>
      <w:r w:rsidRPr="00A04138">
        <w:rPr>
          <w:rFonts w:eastAsiaTheme="minorHAnsi"/>
          <w:lang w:val="sv-SE"/>
        </w:rPr>
        <w:t xml:space="preserve">Skrining fitokimia </w:t>
      </w:r>
      <w:r w:rsidR="000C4919" w:rsidRPr="00A04138">
        <w:rPr>
          <w:rFonts w:eastAsiaTheme="minorHAnsi"/>
          <w:lang w:val="sv-SE"/>
        </w:rPr>
        <w:t>dilakukan terhadap ekstrak bawang hitam melalui uji alklaoid menggunakan pereaksi dragendorff dan mayer. Lalu pengujian flavonoid menggunakan NaOH dan Tanin menggunakan FeCl</w:t>
      </w:r>
      <w:r w:rsidR="000C4919" w:rsidRPr="00A04138">
        <w:rPr>
          <w:rFonts w:eastAsiaTheme="minorHAnsi"/>
          <w:vertAlign w:val="subscript"/>
          <w:lang w:val="sv-SE"/>
        </w:rPr>
        <w:t xml:space="preserve">3 </w:t>
      </w:r>
      <w:r w:rsidR="000C4919" w:rsidRPr="00A04138">
        <w:rPr>
          <w:rFonts w:eastAsiaTheme="minorHAnsi"/>
          <w:lang w:val="sv-SE"/>
        </w:rPr>
        <w:t xml:space="preserve">sehingga dihasilkan perubahan warna yang menandakan kehadiran senyawa tersebut dalam bawang hitam seperti yang tampak pada tabel 2. </w:t>
      </w:r>
    </w:p>
    <w:p w14:paraId="17EE4247" w14:textId="77777777" w:rsidR="00AB0D89" w:rsidRPr="00A04138" w:rsidRDefault="00AB0D89" w:rsidP="00273503">
      <w:pPr>
        <w:spacing w:line="276" w:lineRule="auto"/>
        <w:jc w:val="center"/>
        <w:rPr>
          <w:rFonts w:eastAsiaTheme="minorHAnsi"/>
          <w:lang w:val="sv-SE"/>
        </w:rPr>
      </w:pPr>
    </w:p>
    <w:p w14:paraId="0C9481F0" w14:textId="77777777" w:rsidR="000569EE" w:rsidRPr="00A04138" w:rsidRDefault="000569EE" w:rsidP="00273503">
      <w:pPr>
        <w:spacing w:line="276" w:lineRule="auto"/>
        <w:jc w:val="center"/>
        <w:rPr>
          <w:rFonts w:eastAsiaTheme="minorHAnsi"/>
          <w:lang w:val="sv-SE"/>
        </w:rPr>
      </w:pPr>
    </w:p>
    <w:p w14:paraId="792E07AF" w14:textId="77777777" w:rsidR="000569EE" w:rsidRPr="00A04138" w:rsidRDefault="000569EE" w:rsidP="00273503">
      <w:pPr>
        <w:spacing w:line="276" w:lineRule="auto"/>
        <w:jc w:val="center"/>
        <w:rPr>
          <w:rFonts w:eastAsiaTheme="minorHAnsi"/>
          <w:lang w:val="sv-SE"/>
        </w:rPr>
      </w:pPr>
    </w:p>
    <w:p w14:paraId="3EB3BF89" w14:textId="57D43E7F" w:rsidR="007658DB" w:rsidRPr="007658DB" w:rsidRDefault="00197F58" w:rsidP="00273503">
      <w:pPr>
        <w:spacing w:line="276" w:lineRule="auto"/>
        <w:jc w:val="center"/>
        <w:rPr>
          <w:rFonts w:eastAsiaTheme="minorHAnsi"/>
          <w:lang w:val="fi-FI"/>
        </w:rPr>
      </w:pPr>
      <w:r w:rsidRPr="00197F58">
        <w:rPr>
          <w:rFonts w:eastAsiaTheme="minorHAnsi"/>
          <w:lang w:val="fi-FI"/>
        </w:rPr>
        <w:lastRenderedPageBreak/>
        <w:t>Tabel 2</w:t>
      </w:r>
      <w:r w:rsidR="006F40CF">
        <w:rPr>
          <w:rFonts w:eastAsiaTheme="minorHAnsi"/>
          <w:lang w:val="fi-FI"/>
        </w:rPr>
        <w:t>.</w:t>
      </w:r>
      <w:r w:rsidRPr="00197F58">
        <w:rPr>
          <w:rFonts w:eastAsiaTheme="minorHAnsi"/>
          <w:lang w:val="fi-FI"/>
        </w:rPr>
        <w:t xml:space="preserve"> Hasil </w:t>
      </w:r>
      <w:r>
        <w:rPr>
          <w:rFonts w:eastAsiaTheme="minorHAnsi"/>
          <w:lang w:val="fi-FI"/>
        </w:rPr>
        <w:t>U</w:t>
      </w:r>
      <w:r w:rsidRPr="00197F58">
        <w:rPr>
          <w:rFonts w:eastAsiaTheme="minorHAnsi"/>
          <w:lang w:val="fi-FI"/>
        </w:rPr>
        <w:t xml:space="preserve">ji </w:t>
      </w:r>
      <w:r>
        <w:rPr>
          <w:rFonts w:eastAsiaTheme="minorHAnsi"/>
          <w:lang w:val="fi-FI"/>
        </w:rPr>
        <w:t>S</w:t>
      </w:r>
      <w:r w:rsidRPr="00197F58">
        <w:rPr>
          <w:rFonts w:eastAsiaTheme="minorHAnsi"/>
          <w:lang w:val="fi-FI"/>
        </w:rPr>
        <w:t>krin</w:t>
      </w:r>
      <w:r>
        <w:rPr>
          <w:rFonts w:eastAsiaTheme="minorHAnsi"/>
          <w:lang w:val="fi-FI"/>
        </w:rPr>
        <w:t>in</w:t>
      </w:r>
      <w:r w:rsidRPr="00197F58">
        <w:rPr>
          <w:rFonts w:eastAsiaTheme="minorHAnsi"/>
          <w:lang w:val="fi-FI"/>
        </w:rPr>
        <w:t xml:space="preserve">g </w:t>
      </w:r>
      <w:r>
        <w:rPr>
          <w:rFonts w:eastAsiaTheme="minorHAnsi"/>
          <w:lang w:val="fi-FI"/>
        </w:rPr>
        <w:t>Fi</w:t>
      </w:r>
      <w:r w:rsidRPr="00197F58">
        <w:rPr>
          <w:rFonts w:eastAsiaTheme="minorHAnsi"/>
          <w:lang w:val="fi-FI"/>
        </w:rPr>
        <w:t>tokimia</w:t>
      </w:r>
    </w:p>
    <w:tbl>
      <w:tblPr>
        <w:tblStyle w:val="PlainTable21"/>
        <w:tblW w:w="0" w:type="auto"/>
        <w:jc w:val="center"/>
        <w:tblLook w:val="04A0" w:firstRow="1" w:lastRow="0" w:firstColumn="1" w:lastColumn="0" w:noHBand="0" w:noVBand="1"/>
      </w:tblPr>
      <w:tblGrid>
        <w:gridCol w:w="1410"/>
        <w:gridCol w:w="1230"/>
        <w:gridCol w:w="4461"/>
        <w:gridCol w:w="837"/>
      </w:tblGrid>
      <w:tr w:rsidR="00197F58" w:rsidRPr="006F40CF" w14:paraId="724AB884" w14:textId="77777777" w:rsidTr="00197F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0" w:type="dxa"/>
            <w:tcBorders>
              <w:top w:val="single" w:sz="4" w:space="0" w:color="auto"/>
              <w:bottom w:val="single" w:sz="4" w:space="0" w:color="auto"/>
            </w:tcBorders>
          </w:tcPr>
          <w:p w14:paraId="4EF32E82" w14:textId="77777777" w:rsidR="00197F58" w:rsidRPr="006F40CF" w:rsidRDefault="00197F58" w:rsidP="00197F58">
            <w:pPr>
              <w:spacing w:line="276" w:lineRule="auto"/>
              <w:jc w:val="center"/>
              <w:rPr>
                <w:rFonts w:eastAsiaTheme="minorHAnsi"/>
                <w:b w:val="0"/>
                <w:bCs w:val="0"/>
                <w:lang w:val="sv-SE"/>
              </w:rPr>
            </w:pPr>
            <w:r w:rsidRPr="006F40CF">
              <w:rPr>
                <w:rFonts w:eastAsiaTheme="minorHAnsi"/>
                <w:b w:val="0"/>
                <w:bCs w:val="0"/>
                <w:lang w:val="sv-SE"/>
              </w:rPr>
              <w:t xml:space="preserve">Uji fitokimia </w:t>
            </w:r>
          </w:p>
        </w:tc>
        <w:tc>
          <w:tcPr>
            <w:tcW w:w="1230" w:type="dxa"/>
            <w:tcBorders>
              <w:top w:val="single" w:sz="4" w:space="0" w:color="auto"/>
              <w:bottom w:val="single" w:sz="4" w:space="0" w:color="auto"/>
            </w:tcBorders>
          </w:tcPr>
          <w:p w14:paraId="624C1016" w14:textId="77777777" w:rsidR="00197F58" w:rsidRPr="006F40CF" w:rsidRDefault="00197F58" w:rsidP="00197F5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lang w:val="sv-SE"/>
              </w:rPr>
            </w:pPr>
            <w:r w:rsidRPr="006F40CF">
              <w:rPr>
                <w:rFonts w:eastAsiaTheme="minorHAnsi"/>
                <w:b w:val="0"/>
                <w:bCs w:val="0"/>
                <w:lang w:val="sv-SE"/>
              </w:rPr>
              <w:t xml:space="preserve">Pereaksi </w:t>
            </w:r>
          </w:p>
        </w:tc>
        <w:tc>
          <w:tcPr>
            <w:tcW w:w="4461" w:type="dxa"/>
            <w:tcBorders>
              <w:top w:val="single" w:sz="4" w:space="0" w:color="auto"/>
              <w:bottom w:val="single" w:sz="4" w:space="0" w:color="auto"/>
            </w:tcBorders>
          </w:tcPr>
          <w:p w14:paraId="1B11F42F" w14:textId="77777777" w:rsidR="00197F58" w:rsidRPr="006F40CF" w:rsidRDefault="00197F58" w:rsidP="00197F5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lang w:val="sv-SE"/>
              </w:rPr>
            </w:pPr>
            <w:r w:rsidRPr="006F40CF">
              <w:rPr>
                <w:rFonts w:eastAsiaTheme="minorHAnsi"/>
                <w:b w:val="0"/>
                <w:bCs w:val="0"/>
                <w:lang w:val="sv-SE"/>
              </w:rPr>
              <w:t>Pengamatan</w:t>
            </w:r>
          </w:p>
        </w:tc>
        <w:tc>
          <w:tcPr>
            <w:tcW w:w="837" w:type="dxa"/>
            <w:tcBorders>
              <w:top w:val="single" w:sz="4" w:space="0" w:color="auto"/>
              <w:bottom w:val="single" w:sz="4" w:space="0" w:color="auto"/>
            </w:tcBorders>
          </w:tcPr>
          <w:p w14:paraId="1AD180E6" w14:textId="77777777" w:rsidR="00197F58" w:rsidRPr="006F40CF" w:rsidRDefault="00197F58" w:rsidP="00197F5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lang w:val="sv-SE"/>
              </w:rPr>
            </w:pPr>
            <w:r w:rsidRPr="006F40CF">
              <w:rPr>
                <w:rFonts w:eastAsiaTheme="minorHAnsi"/>
                <w:b w:val="0"/>
                <w:bCs w:val="0"/>
                <w:lang w:val="sv-SE"/>
              </w:rPr>
              <w:t>Hasil</w:t>
            </w:r>
          </w:p>
        </w:tc>
      </w:tr>
      <w:tr w:rsidR="006F40CF" w:rsidRPr="00197F58" w14:paraId="2FA1DA5A" w14:textId="77777777" w:rsidTr="006F40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0" w:type="dxa"/>
            <w:vMerge w:val="restart"/>
            <w:tcBorders>
              <w:top w:val="single" w:sz="4" w:space="0" w:color="auto"/>
            </w:tcBorders>
            <w:vAlign w:val="center"/>
          </w:tcPr>
          <w:p w14:paraId="37958C4D" w14:textId="77777777" w:rsidR="006F40CF" w:rsidRPr="006F40CF" w:rsidRDefault="006F40CF" w:rsidP="006F40CF">
            <w:pPr>
              <w:spacing w:line="276" w:lineRule="auto"/>
              <w:jc w:val="center"/>
              <w:rPr>
                <w:rFonts w:eastAsiaTheme="minorHAnsi"/>
                <w:b w:val="0"/>
                <w:bCs w:val="0"/>
                <w:lang w:val="sv-SE"/>
              </w:rPr>
            </w:pPr>
            <w:r w:rsidRPr="006F40CF">
              <w:rPr>
                <w:rFonts w:eastAsiaTheme="minorHAnsi"/>
                <w:b w:val="0"/>
                <w:bCs w:val="0"/>
                <w:lang w:val="sv-SE"/>
              </w:rPr>
              <w:t>Alkaloid</w:t>
            </w:r>
          </w:p>
        </w:tc>
        <w:tc>
          <w:tcPr>
            <w:tcW w:w="1230" w:type="dxa"/>
            <w:tcBorders>
              <w:top w:val="single" w:sz="4" w:space="0" w:color="auto"/>
              <w:bottom w:val="single" w:sz="4" w:space="0" w:color="auto"/>
            </w:tcBorders>
            <w:vAlign w:val="center"/>
          </w:tcPr>
          <w:p w14:paraId="7F34329F" w14:textId="6D4ED4CF" w:rsidR="006F40CF" w:rsidRPr="00197F58" w:rsidRDefault="006F40CF" w:rsidP="006F40CF">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lang w:val="sv-SE"/>
              </w:rPr>
            </w:pPr>
            <w:r w:rsidRPr="00197F58">
              <w:rPr>
                <w:rFonts w:eastAsiaTheme="minorHAnsi"/>
                <w:lang w:val="sv-SE"/>
              </w:rPr>
              <w:t>Dragend</w:t>
            </w:r>
            <w:r w:rsidR="000C4919">
              <w:rPr>
                <w:rFonts w:eastAsiaTheme="minorHAnsi"/>
                <w:lang w:val="sv-SE"/>
              </w:rPr>
              <w:t>orff</w:t>
            </w:r>
          </w:p>
        </w:tc>
        <w:tc>
          <w:tcPr>
            <w:tcW w:w="4461" w:type="dxa"/>
            <w:tcBorders>
              <w:top w:val="single" w:sz="4" w:space="0" w:color="auto"/>
              <w:bottom w:val="single" w:sz="4" w:space="0" w:color="auto"/>
            </w:tcBorders>
          </w:tcPr>
          <w:p w14:paraId="1086F700" w14:textId="1B8F6B91" w:rsidR="006F40CF" w:rsidRPr="00197F58" w:rsidRDefault="000C4919" w:rsidP="00197F58">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lang w:val="sv-SE"/>
              </w:rPr>
            </w:pPr>
            <w:r>
              <w:rPr>
                <w:rFonts w:eastAsiaTheme="minorHAnsi"/>
                <w:lang w:val="sv-SE"/>
              </w:rPr>
              <w:t>Terbentuknya endapan berwarna jingga</w:t>
            </w:r>
          </w:p>
        </w:tc>
        <w:tc>
          <w:tcPr>
            <w:tcW w:w="837" w:type="dxa"/>
            <w:tcBorders>
              <w:top w:val="single" w:sz="4" w:space="0" w:color="auto"/>
              <w:bottom w:val="single" w:sz="4" w:space="0" w:color="auto"/>
            </w:tcBorders>
            <w:vAlign w:val="center"/>
          </w:tcPr>
          <w:p w14:paraId="380B96B8" w14:textId="6D4A989B" w:rsidR="006F40CF" w:rsidRPr="00197F58" w:rsidRDefault="006F40CF" w:rsidP="006F40CF">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lang w:val="sv-SE"/>
              </w:rPr>
            </w:pPr>
            <w:r w:rsidRPr="00197F58">
              <w:rPr>
                <w:rFonts w:eastAsiaTheme="minorHAnsi"/>
                <w:lang w:val="sv-SE"/>
              </w:rPr>
              <w:t>+</w:t>
            </w:r>
          </w:p>
        </w:tc>
      </w:tr>
      <w:tr w:rsidR="006F40CF" w:rsidRPr="00197F58" w14:paraId="75DCD1DD" w14:textId="77777777" w:rsidTr="006F40CF">
        <w:trPr>
          <w:jc w:val="center"/>
        </w:trPr>
        <w:tc>
          <w:tcPr>
            <w:cnfStyle w:val="001000000000" w:firstRow="0" w:lastRow="0" w:firstColumn="1" w:lastColumn="0" w:oddVBand="0" w:evenVBand="0" w:oddHBand="0" w:evenHBand="0" w:firstRowFirstColumn="0" w:firstRowLastColumn="0" w:lastRowFirstColumn="0" w:lastRowLastColumn="0"/>
            <w:tcW w:w="1410" w:type="dxa"/>
            <w:vMerge/>
            <w:tcBorders>
              <w:bottom w:val="single" w:sz="4" w:space="0" w:color="auto"/>
            </w:tcBorders>
            <w:vAlign w:val="center"/>
          </w:tcPr>
          <w:p w14:paraId="6F426970" w14:textId="77777777" w:rsidR="006F40CF" w:rsidRPr="006F40CF" w:rsidRDefault="006F40CF" w:rsidP="006F40CF">
            <w:pPr>
              <w:spacing w:line="276" w:lineRule="auto"/>
              <w:jc w:val="center"/>
              <w:rPr>
                <w:rFonts w:eastAsiaTheme="minorHAnsi"/>
                <w:b w:val="0"/>
                <w:bCs w:val="0"/>
                <w:lang w:val="sv-SE"/>
              </w:rPr>
            </w:pPr>
          </w:p>
        </w:tc>
        <w:tc>
          <w:tcPr>
            <w:tcW w:w="1230" w:type="dxa"/>
            <w:tcBorders>
              <w:top w:val="single" w:sz="4" w:space="0" w:color="auto"/>
              <w:bottom w:val="single" w:sz="4" w:space="0" w:color="auto"/>
            </w:tcBorders>
            <w:vAlign w:val="center"/>
          </w:tcPr>
          <w:p w14:paraId="61D3D71C" w14:textId="77777777" w:rsidR="006F40CF" w:rsidRPr="00197F58" w:rsidRDefault="006F40CF" w:rsidP="006F40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lang w:val="sv-SE"/>
              </w:rPr>
            </w:pPr>
            <w:r w:rsidRPr="00197F58">
              <w:rPr>
                <w:rFonts w:eastAsiaTheme="minorHAnsi"/>
                <w:lang w:val="sv-SE"/>
              </w:rPr>
              <w:t>Mayer</w:t>
            </w:r>
          </w:p>
        </w:tc>
        <w:tc>
          <w:tcPr>
            <w:tcW w:w="4461" w:type="dxa"/>
            <w:tcBorders>
              <w:top w:val="single" w:sz="4" w:space="0" w:color="auto"/>
              <w:bottom w:val="single" w:sz="4" w:space="0" w:color="auto"/>
            </w:tcBorders>
          </w:tcPr>
          <w:p w14:paraId="16F03CE5" w14:textId="2A691A4C" w:rsidR="006F40CF" w:rsidRPr="00197F58" w:rsidRDefault="000C4919" w:rsidP="00197F5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lang w:val="sv-SE"/>
              </w:rPr>
            </w:pPr>
            <w:r>
              <w:rPr>
                <w:rFonts w:eastAsiaTheme="minorHAnsi"/>
                <w:lang w:val="sv-SE"/>
              </w:rPr>
              <w:t>Terbentuknya endapan berwarna cream</w:t>
            </w:r>
          </w:p>
        </w:tc>
        <w:tc>
          <w:tcPr>
            <w:tcW w:w="837" w:type="dxa"/>
            <w:tcBorders>
              <w:top w:val="single" w:sz="4" w:space="0" w:color="auto"/>
              <w:bottom w:val="single" w:sz="4" w:space="0" w:color="auto"/>
            </w:tcBorders>
            <w:vAlign w:val="center"/>
          </w:tcPr>
          <w:p w14:paraId="17BE2D4E" w14:textId="2027EEED" w:rsidR="006F40CF" w:rsidRPr="00197F58" w:rsidRDefault="006F40CF" w:rsidP="006F40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lang w:val="sv-SE"/>
              </w:rPr>
            </w:pPr>
            <w:r w:rsidRPr="00197F58">
              <w:rPr>
                <w:rFonts w:eastAsiaTheme="minorHAnsi"/>
                <w:lang w:val="sv-SE"/>
              </w:rPr>
              <w:t>+</w:t>
            </w:r>
          </w:p>
        </w:tc>
      </w:tr>
      <w:tr w:rsidR="00197F58" w:rsidRPr="00197F58" w14:paraId="364B427B" w14:textId="77777777" w:rsidTr="006F40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0" w:type="dxa"/>
            <w:tcBorders>
              <w:top w:val="single" w:sz="4" w:space="0" w:color="auto"/>
              <w:bottom w:val="single" w:sz="4" w:space="0" w:color="auto"/>
            </w:tcBorders>
            <w:vAlign w:val="center"/>
          </w:tcPr>
          <w:p w14:paraId="336C04E5" w14:textId="77777777" w:rsidR="00197F58" w:rsidRPr="006F40CF" w:rsidRDefault="00197F58" w:rsidP="006F40CF">
            <w:pPr>
              <w:spacing w:line="276" w:lineRule="auto"/>
              <w:jc w:val="center"/>
              <w:rPr>
                <w:rFonts w:eastAsiaTheme="minorHAnsi"/>
                <w:b w:val="0"/>
                <w:bCs w:val="0"/>
                <w:lang w:val="sv-SE"/>
              </w:rPr>
            </w:pPr>
            <w:r w:rsidRPr="006F40CF">
              <w:rPr>
                <w:rFonts w:eastAsiaTheme="minorHAnsi"/>
                <w:b w:val="0"/>
                <w:bCs w:val="0"/>
                <w:lang w:val="sv-SE"/>
              </w:rPr>
              <w:t>Flavonoid</w:t>
            </w:r>
          </w:p>
        </w:tc>
        <w:tc>
          <w:tcPr>
            <w:tcW w:w="1230" w:type="dxa"/>
            <w:tcBorders>
              <w:top w:val="single" w:sz="4" w:space="0" w:color="auto"/>
              <w:bottom w:val="single" w:sz="4" w:space="0" w:color="auto"/>
            </w:tcBorders>
          </w:tcPr>
          <w:p w14:paraId="52049789" w14:textId="77777777" w:rsidR="00197F58" w:rsidRPr="00197F58" w:rsidRDefault="00197F58" w:rsidP="00197F58">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lang w:val="sv-SE"/>
              </w:rPr>
            </w:pPr>
            <w:r w:rsidRPr="00197F58">
              <w:rPr>
                <w:rFonts w:eastAsiaTheme="minorHAnsi"/>
                <w:lang w:val="sv-SE"/>
              </w:rPr>
              <w:t>NaOH 1%</w:t>
            </w:r>
          </w:p>
        </w:tc>
        <w:tc>
          <w:tcPr>
            <w:tcW w:w="4461" w:type="dxa"/>
            <w:tcBorders>
              <w:top w:val="single" w:sz="4" w:space="0" w:color="auto"/>
              <w:bottom w:val="single" w:sz="4" w:space="0" w:color="auto"/>
            </w:tcBorders>
          </w:tcPr>
          <w:p w14:paraId="15365483" w14:textId="213A64EB" w:rsidR="00197F58" w:rsidRPr="00197F58" w:rsidRDefault="000C4919" w:rsidP="00197F58">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lang w:val="sv-SE"/>
              </w:rPr>
            </w:pPr>
            <w:r>
              <w:rPr>
                <w:rFonts w:eastAsiaTheme="minorHAnsi"/>
                <w:lang w:val="sv-SE"/>
              </w:rPr>
              <w:t>Larutan berwarna</w:t>
            </w:r>
            <w:r w:rsidR="00197F58" w:rsidRPr="00197F58">
              <w:rPr>
                <w:rFonts w:eastAsiaTheme="minorHAnsi"/>
                <w:lang w:val="sv-SE"/>
              </w:rPr>
              <w:t xml:space="preserve"> kuning</w:t>
            </w:r>
          </w:p>
        </w:tc>
        <w:tc>
          <w:tcPr>
            <w:tcW w:w="837" w:type="dxa"/>
            <w:tcBorders>
              <w:top w:val="single" w:sz="4" w:space="0" w:color="auto"/>
              <w:bottom w:val="single" w:sz="4" w:space="0" w:color="auto"/>
            </w:tcBorders>
            <w:vAlign w:val="center"/>
          </w:tcPr>
          <w:p w14:paraId="6054F516" w14:textId="3705CB78" w:rsidR="00197F58" w:rsidRPr="00197F58" w:rsidRDefault="00197F58" w:rsidP="006F40CF">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heme="minorHAnsi"/>
                <w:lang w:val="sv-SE"/>
              </w:rPr>
            </w:pPr>
            <w:r w:rsidRPr="00197F58">
              <w:rPr>
                <w:rFonts w:eastAsiaTheme="minorHAnsi"/>
                <w:lang w:val="sv-SE"/>
              </w:rPr>
              <w:t>+</w:t>
            </w:r>
          </w:p>
        </w:tc>
      </w:tr>
      <w:tr w:rsidR="00197F58" w:rsidRPr="00197F58" w14:paraId="28C74FD5" w14:textId="77777777" w:rsidTr="006F40CF">
        <w:trPr>
          <w:jc w:val="center"/>
        </w:trPr>
        <w:tc>
          <w:tcPr>
            <w:cnfStyle w:val="001000000000" w:firstRow="0" w:lastRow="0" w:firstColumn="1" w:lastColumn="0" w:oddVBand="0" w:evenVBand="0" w:oddHBand="0" w:evenHBand="0" w:firstRowFirstColumn="0" w:firstRowLastColumn="0" w:lastRowFirstColumn="0" w:lastRowLastColumn="0"/>
            <w:tcW w:w="1410" w:type="dxa"/>
            <w:tcBorders>
              <w:top w:val="single" w:sz="4" w:space="0" w:color="auto"/>
              <w:bottom w:val="single" w:sz="4" w:space="0" w:color="auto"/>
            </w:tcBorders>
            <w:vAlign w:val="center"/>
          </w:tcPr>
          <w:p w14:paraId="00423B55" w14:textId="77777777" w:rsidR="00197F58" w:rsidRPr="006F40CF" w:rsidRDefault="00197F58" w:rsidP="006F40CF">
            <w:pPr>
              <w:spacing w:line="276" w:lineRule="auto"/>
              <w:jc w:val="center"/>
              <w:rPr>
                <w:rFonts w:eastAsiaTheme="minorHAnsi"/>
                <w:b w:val="0"/>
                <w:bCs w:val="0"/>
                <w:lang w:val="sv-SE"/>
              </w:rPr>
            </w:pPr>
            <w:r w:rsidRPr="006F40CF">
              <w:rPr>
                <w:rFonts w:eastAsiaTheme="minorHAnsi"/>
                <w:b w:val="0"/>
                <w:bCs w:val="0"/>
                <w:lang w:val="sv-SE"/>
              </w:rPr>
              <w:t>Tanin</w:t>
            </w:r>
          </w:p>
        </w:tc>
        <w:tc>
          <w:tcPr>
            <w:tcW w:w="1230" w:type="dxa"/>
            <w:tcBorders>
              <w:top w:val="single" w:sz="4" w:space="0" w:color="auto"/>
              <w:bottom w:val="single" w:sz="4" w:space="0" w:color="auto"/>
            </w:tcBorders>
          </w:tcPr>
          <w:p w14:paraId="07EAECC5" w14:textId="6B69A98B" w:rsidR="00197F58" w:rsidRPr="00197F58" w:rsidRDefault="00197F58" w:rsidP="00197F5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lang w:val="sv-SE"/>
              </w:rPr>
            </w:pPr>
            <w:r w:rsidRPr="00197F58">
              <w:rPr>
                <w:rFonts w:eastAsiaTheme="minorHAnsi"/>
                <w:lang w:val="sv-SE"/>
              </w:rPr>
              <w:t>FeC</w:t>
            </w:r>
            <w:r w:rsidR="000C4919">
              <w:rPr>
                <w:rFonts w:eastAsiaTheme="minorHAnsi"/>
                <w:lang w:val="sv-SE"/>
              </w:rPr>
              <w:t>l</w:t>
            </w:r>
            <w:r w:rsidR="000C4919" w:rsidRPr="000C4919">
              <w:rPr>
                <w:rFonts w:eastAsiaTheme="minorHAnsi"/>
                <w:vertAlign w:val="subscript"/>
                <w:lang w:val="sv-SE"/>
              </w:rPr>
              <w:t>3</w:t>
            </w:r>
          </w:p>
        </w:tc>
        <w:tc>
          <w:tcPr>
            <w:tcW w:w="4461" w:type="dxa"/>
            <w:tcBorders>
              <w:top w:val="single" w:sz="4" w:space="0" w:color="auto"/>
              <w:bottom w:val="single" w:sz="4" w:space="0" w:color="auto"/>
            </w:tcBorders>
          </w:tcPr>
          <w:p w14:paraId="5A8A0095" w14:textId="0C201BC8" w:rsidR="00197F58" w:rsidRPr="00197F58" w:rsidRDefault="000C4919" w:rsidP="00197F5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lang w:val="sv-SE"/>
              </w:rPr>
            </w:pPr>
            <w:r>
              <w:rPr>
                <w:rFonts w:eastAsiaTheme="minorHAnsi"/>
                <w:lang w:val="sv-SE"/>
              </w:rPr>
              <w:t>Larutan berw</w:t>
            </w:r>
            <w:r w:rsidR="00197F58" w:rsidRPr="00197F58">
              <w:rPr>
                <w:rFonts w:eastAsiaTheme="minorHAnsi"/>
                <w:lang w:val="sv-SE"/>
              </w:rPr>
              <w:t>arna hijau</w:t>
            </w:r>
            <w:r>
              <w:rPr>
                <w:rFonts w:eastAsiaTheme="minorHAnsi"/>
                <w:lang w:val="sv-SE"/>
              </w:rPr>
              <w:t xml:space="preserve"> kehitaman</w:t>
            </w:r>
          </w:p>
        </w:tc>
        <w:tc>
          <w:tcPr>
            <w:tcW w:w="837" w:type="dxa"/>
            <w:tcBorders>
              <w:top w:val="single" w:sz="4" w:space="0" w:color="auto"/>
              <w:bottom w:val="single" w:sz="4" w:space="0" w:color="auto"/>
            </w:tcBorders>
            <w:vAlign w:val="center"/>
          </w:tcPr>
          <w:p w14:paraId="7B453320" w14:textId="745B9E78" w:rsidR="00197F58" w:rsidRPr="00197F58" w:rsidRDefault="00197F58" w:rsidP="006F40C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HAnsi"/>
                <w:lang w:val="sv-SE"/>
              </w:rPr>
            </w:pPr>
            <w:r w:rsidRPr="00197F58">
              <w:rPr>
                <w:rFonts w:eastAsiaTheme="minorHAnsi"/>
                <w:lang w:val="sv-SE"/>
              </w:rPr>
              <w:t>+</w:t>
            </w:r>
          </w:p>
        </w:tc>
      </w:tr>
    </w:tbl>
    <w:p w14:paraId="5C01EACD" w14:textId="77777777" w:rsidR="00AB0D89" w:rsidRDefault="00AB0D89" w:rsidP="00273503">
      <w:pPr>
        <w:spacing w:line="276" w:lineRule="auto"/>
        <w:jc w:val="center"/>
        <w:rPr>
          <w:rFonts w:eastAsiaTheme="minorHAnsi"/>
        </w:rPr>
      </w:pPr>
    </w:p>
    <w:p w14:paraId="3A67AB91" w14:textId="5096EFCB" w:rsidR="00032B17" w:rsidRPr="00513867" w:rsidRDefault="000C4919" w:rsidP="00032B17">
      <w:pPr>
        <w:spacing w:line="276" w:lineRule="auto"/>
        <w:jc w:val="both"/>
        <w:rPr>
          <w:rFonts w:eastAsiaTheme="minorHAnsi"/>
        </w:rPr>
      </w:pPr>
      <w:r w:rsidRPr="000C4919">
        <w:rPr>
          <w:rFonts w:eastAsiaTheme="minorHAnsi"/>
        </w:rPr>
        <w:t>Tabel 2 menu</w:t>
      </w:r>
      <w:r>
        <w:rPr>
          <w:rFonts w:eastAsiaTheme="minorHAnsi"/>
        </w:rPr>
        <w:t>n</w:t>
      </w:r>
      <w:r w:rsidRPr="000C4919">
        <w:rPr>
          <w:rFonts w:eastAsiaTheme="minorHAnsi"/>
        </w:rPr>
        <w:t>jukkan bahwa ekstrak bawang hitam mengandung senyawa alk</w:t>
      </w:r>
      <w:r>
        <w:rPr>
          <w:rFonts w:eastAsiaTheme="minorHAnsi"/>
        </w:rPr>
        <w:t>aloid</w:t>
      </w:r>
      <w:r w:rsidR="00513867">
        <w:rPr>
          <w:rFonts w:eastAsiaTheme="minorHAnsi"/>
        </w:rPr>
        <w:t xml:space="preserve">, ditandai </w:t>
      </w:r>
      <w:r>
        <w:rPr>
          <w:rFonts w:eastAsiaTheme="minorHAnsi"/>
        </w:rPr>
        <w:t xml:space="preserve">dengan munculnya endapan jingga dan cream pada masing-masing pereaksi. </w:t>
      </w:r>
      <w:r w:rsidRPr="00513867">
        <w:rPr>
          <w:rFonts w:eastAsiaTheme="minorHAnsi"/>
        </w:rPr>
        <w:t xml:space="preserve">Demikian juga, </w:t>
      </w:r>
      <w:r w:rsidR="00513867" w:rsidRPr="00513867">
        <w:rPr>
          <w:rFonts w:eastAsiaTheme="minorHAnsi"/>
        </w:rPr>
        <w:t>mengandung senyawa flavonoid dengan perubahan warna ekstrak menja</w:t>
      </w:r>
      <w:r w:rsidR="00513867">
        <w:rPr>
          <w:rFonts w:eastAsiaTheme="minorHAnsi"/>
        </w:rPr>
        <w:t xml:space="preserve">di berwarna kuning dan senyawa tanin dengan berubahnya menjadi larutan berwarna hijau kehitaman. </w:t>
      </w:r>
    </w:p>
    <w:p w14:paraId="362D9C83" w14:textId="77777777" w:rsidR="00032B17" w:rsidRPr="00513867" w:rsidRDefault="00032B17" w:rsidP="00032B17">
      <w:pPr>
        <w:spacing w:line="276" w:lineRule="auto"/>
        <w:jc w:val="both"/>
        <w:rPr>
          <w:rFonts w:eastAsiaTheme="minorHAnsi"/>
        </w:rPr>
      </w:pPr>
    </w:p>
    <w:p w14:paraId="3A6A4762" w14:textId="562CFCF3" w:rsidR="00197F58" w:rsidRPr="00552DBC" w:rsidRDefault="00197F58" w:rsidP="00197F58">
      <w:pPr>
        <w:pStyle w:val="Els-body-text"/>
        <w:spacing w:line="276" w:lineRule="auto"/>
        <w:ind w:firstLine="0"/>
        <w:rPr>
          <w:b/>
        </w:rPr>
      </w:pPr>
      <w:r>
        <w:rPr>
          <w:b/>
        </w:rPr>
        <w:t>3.4 Hasil Uji Antiinflamasi</w:t>
      </w:r>
    </w:p>
    <w:p w14:paraId="1A414C0D" w14:textId="744A0256" w:rsidR="00197F58" w:rsidRPr="00513867" w:rsidRDefault="00513867" w:rsidP="00197F58">
      <w:pPr>
        <w:spacing w:line="276" w:lineRule="auto"/>
        <w:jc w:val="both"/>
        <w:rPr>
          <w:rFonts w:eastAsiaTheme="minorHAnsi"/>
        </w:rPr>
      </w:pPr>
      <w:r w:rsidRPr="00513867">
        <w:rPr>
          <w:rFonts w:eastAsiaTheme="minorHAnsi"/>
        </w:rPr>
        <w:t>Pengujian aktivitas antiinflamasi ekstrak etanol bawang hitam dilakukan pada 25 ekor tikus yang dibagi menjadi enam kelompok, yaitu kelompok normal, kontrol positif (natrium diklofenak 4,5 mg/kgBB), kontrol negatif (Na-CMC 1%), serta kelompok ekstrak dosis 100, 200, dan 400 mg/kgBB secara oral. Induksi edema dilakukan menggunakan karagenan yang memicu tiga fase inflamasi, yaitu pelepasan histamin dan serotonin pada fase awal (hingga 90 menit), serta pelepasan bradikinin pada fase berikutnya (1,5–5 jam). Perubahan volume kaki tikus digunakan untuk menghitung persentase radang dan dianalisis melalui grafik perubahan rata-rata edema seperti yang tampak pada tab</w:t>
      </w:r>
      <w:r>
        <w:rPr>
          <w:rFonts w:eastAsiaTheme="minorHAnsi"/>
        </w:rPr>
        <w:t xml:space="preserve">el 3. </w:t>
      </w:r>
    </w:p>
    <w:p w14:paraId="28FB152F" w14:textId="66E9CF92" w:rsidR="006F40CF" w:rsidRPr="00680905" w:rsidRDefault="006F40CF" w:rsidP="006F40CF">
      <w:pPr>
        <w:spacing w:line="276" w:lineRule="auto"/>
        <w:jc w:val="center"/>
        <w:rPr>
          <w:rFonts w:eastAsiaTheme="minorHAnsi"/>
        </w:rPr>
      </w:pPr>
      <w:r>
        <w:rPr>
          <w:rFonts w:eastAsiaTheme="minorHAnsi"/>
        </w:rPr>
        <w:t>Tabel 3. Hasil Uji Antiinflamasi</w:t>
      </w:r>
    </w:p>
    <w:p w14:paraId="777E114A" w14:textId="77777777" w:rsidR="00197F58" w:rsidRDefault="00197F58" w:rsidP="00032B17">
      <w:pPr>
        <w:spacing w:line="276" w:lineRule="auto"/>
        <w:jc w:val="both"/>
        <w:rPr>
          <w:rFonts w:eastAsiaTheme="minorHAnsi"/>
        </w:rPr>
      </w:pPr>
    </w:p>
    <w:tbl>
      <w:tblPr>
        <w:tblStyle w:val="PlainTable21"/>
        <w:tblpPr w:leftFromText="180" w:rightFromText="180" w:vertAnchor="text" w:horzAnchor="margin" w:tblpXSpec="center" w:tblpY="-215"/>
        <w:tblW w:w="9356" w:type="dxa"/>
        <w:tblLayout w:type="fixed"/>
        <w:tblLook w:val="0600" w:firstRow="0" w:lastRow="0" w:firstColumn="0" w:lastColumn="0" w:noHBand="1" w:noVBand="1"/>
      </w:tblPr>
      <w:tblGrid>
        <w:gridCol w:w="1418"/>
        <w:gridCol w:w="1134"/>
        <w:gridCol w:w="1134"/>
        <w:gridCol w:w="1134"/>
        <w:gridCol w:w="1134"/>
        <w:gridCol w:w="1134"/>
        <w:gridCol w:w="1134"/>
        <w:gridCol w:w="1134"/>
      </w:tblGrid>
      <w:tr w:rsidR="006F40CF" w:rsidRPr="00E92EB3" w14:paraId="6C4415E0" w14:textId="77777777" w:rsidTr="006F40CF">
        <w:trPr>
          <w:trHeight w:val="143"/>
        </w:trPr>
        <w:tc>
          <w:tcPr>
            <w:tcW w:w="1418" w:type="dxa"/>
            <w:vMerge w:val="restart"/>
            <w:tcBorders>
              <w:top w:val="single" w:sz="4" w:space="0" w:color="auto"/>
            </w:tcBorders>
            <w:vAlign w:val="center"/>
          </w:tcPr>
          <w:p w14:paraId="4F903331" w14:textId="77777777" w:rsidR="006F40CF" w:rsidRPr="006F40CF" w:rsidRDefault="006F40CF" w:rsidP="006F40CF">
            <w:pPr>
              <w:spacing w:line="276" w:lineRule="auto"/>
              <w:jc w:val="center"/>
              <w:rPr>
                <w:rFonts w:eastAsiaTheme="minorHAnsi"/>
                <w:lang w:val="en-US"/>
              </w:rPr>
            </w:pPr>
            <w:r w:rsidRPr="006F40CF">
              <w:rPr>
                <w:rFonts w:eastAsiaTheme="minorHAnsi"/>
                <w:lang w:val="en-US"/>
              </w:rPr>
              <w:t>Kelompok Perlakuan</w:t>
            </w:r>
          </w:p>
        </w:tc>
        <w:tc>
          <w:tcPr>
            <w:tcW w:w="7938" w:type="dxa"/>
            <w:gridSpan w:val="7"/>
            <w:tcBorders>
              <w:top w:val="single" w:sz="4" w:space="0" w:color="auto"/>
              <w:bottom w:val="single" w:sz="4" w:space="0" w:color="auto"/>
            </w:tcBorders>
          </w:tcPr>
          <w:p w14:paraId="6A08BCE9" w14:textId="77777777" w:rsidR="006F40CF" w:rsidRPr="006F40CF" w:rsidRDefault="006F40CF" w:rsidP="006F40CF">
            <w:pPr>
              <w:spacing w:line="276" w:lineRule="auto"/>
              <w:jc w:val="center"/>
              <w:rPr>
                <w:rFonts w:eastAsiaTheme="minorHAnsi"/>
                <w:lang w:val="sv-SE"/>
              </w:rPr>
            </w:pPr>
            <w:r w:rsidRPr="006F40CF">
              <w:rPr>
                <w:rFonts w:eastAsiaTheme="minorHAnsi"/>
                <w:lang w:val="sv-SE"/>
              </w:rPr>
              <w:t>Rata-rata ukuran peradangan ± SD</w:t>
            </w:r>
          </w:p>
        </w:tc>
      </w:tr>
      <w:tr w:rsidR="006F40CF" w:rsidRPr="00197F58" w14:paraId="5609B4D1" w14:textId="77777777" w:rsidTr="006F40CF">
        <w:trPr>
          <w:trHeight w:val="290"/>
        </w:trPr>
        <w:tc>
          <w:tcPr>
            <w:tcW w:w="1418" w:type="dxa"/>
            <w:vMerge/>
            <w:tcBorders>
              <w:bottom w:val="single" w:sz="4" w:space="0" w:color="auto"/>
            </w:tcBorders>
          </w:tcPr>
          <w:p w14:paraId="0B082D69" w14:textId="77777777" w:rsidR="006F40CF" w:rsidRPr="006F40CF" w:rsidRDefault="006F40CF" w:rsidP="006F40CF">
            <w:pPr>
              <w:spacing w:line="276" w:lineRule="auto"/>
              <w:jc w:val="center"/>
              <w:rPr>
                <w:rFonts w:eastAsiaTheme="minorHAnsi"/>
                <w:lang w:val="sv-SE"/>
              </w:rPr>
            </w:pPr>
          </w:p>
        </w:tc>
        <w:tc>
          <w:tcPr>
            <w:tcW w:w="1134" w:type="dxa"/>
            <w:tcBorders>
              <w:top w:val="single" w:sz="4" w:space="0" w:color="auto"/>
              <w:bottom w:val="single" w:sz="4" w:space="0" w:color="auto"/>
            </w:tcBorders>
          </w:tcPr>
          <w:p w14:paraId="53C2D283" w14:textId="77777777" w:rsidR="006F40CF" w:rsidRPr="006F40CF" w:rsidRDefault="006F40CF" w:rsidP="006F40CF">
            <w:pPr>
              <w:spacing w:line="276" w:lineRule="auto"/>
              <w:ind w:right="27" w:hanging="105"/>
              <w:jc w:val="center"/>
              <w:rPr>
                <w:rFonts w:eastAsiaTheme="minorHAnsi"/>
                <w:lang w:val="en-US"/>
              </w:rPr>
            </w:pPr>
            <w:r w:rsidRPr="006F40CF">
              <w:rPr>
                <w:rFonts w:eastAsiaTheme="minorHAnsi"/>
                <w:lang w:val="en-US"/>
              </w:rPr>
              <w:t>1 jam</w:t>
            </w:r>
          </w:p>
        </w:tc>
        <w:tc>
          <w:tcPr>
            <w:tcW w:w="1134" w:type="dxa"/>
            <w:tcBorders>
              <w:top w:val="single" w:sz="4" w:space="0" w:color="auto"/>
              <w:bottom w:val="single" w:sz="4" w:space="0" w:color="auto"/>
            </w:tcBorders>
          </w:tcPr>
          <w:p w14:paraId="7412BC5C" w14:textId="64A5B9A8" w:rsidR="006F40CF" w:rsidRPr="006F40CF" w:rsidRDefault="006F40CF" w:rsidP="006F40CF">
            <w:pPr>
              <w:spacing w:line="276" w:lineRule="auto"/>
              <w:ind w:right="27" w:hanging="105"/>
              <w:jc w:val="center"/>
              <w:rPr>
                <w:rFonts w:eastAsiaTheme="minorHAnsi"/>
                <w:lang w:val="en-US"/>
              </w:rPr>
            </w:pPr>
            <w:r w:rsidRPr="006F40CF">
              <w:rPr>
                <w:rFonts w:eastAsiaTheme="minorHAnsi"/>
                <w:lang w:val="en-US"/>
              </w:rPr>
              <w:t>2</w:t>
            </w:r>
            <w:r>
              <w:rPr>
                <w:rFonts w:eastAsiaTheme="minorHAnsi"/>
                <w:lang w:val="en-US"/>
              </w:rPr>
              <w:t xml:space="preserve"> </w:t>
            </w:r>
            <w:r w:rsidRPr="006F40CF">
              <w:rPr>
                <w:rFonts w:eastAsiaTheme="minorHAnsi"/>
                <w:lang w:val="en-US"/>
              </w:rPr>
              <w:t>jam</w:t>
            </w:r>
          </w:p>
        </w:tc>
        <w:tc>
          <w:tcPr>
            <w:tcW w:w="1134" w:type="dxa"/>
            <w:tcBorders>
              <w:top w:val="single" w:sz="4" w:space="0" w:color="auto"/>
              <w:bottom w:val="single" w:sz="4" w:space="0" w:color="auto"/>
            </w:tcBorders>
          </w:tcPr>
          <w:p w14:paraId="0DD10E49" w14:textId="77777777" w:rsidR="006F40CF" w:rsidRPr="006F40CF" w:rsidRDefault="006F40CF" w:rsidP="006F40CF">
            <w:pPr>
              <w:spacing w:line="276" w:lineRule="auto"/>
              <w:ind w:right="27" w:hanging="105"/>
              <w:jc w:val="center"/>
              <w:rPr>
                <w:rFonts w:eastAsiaTheme="minorHAnsi"/>
                <w:lang w:val="en-US"/>
              </w:rPr>
            </w:pPr>
            <w:r w:rsidRPr="006F40CF">
              <w:rPr>
                <w:rFonts w:eastAsiaTheme="minorHAnsi"/>
                <w:lang w:val="en-US"/>
              </w:rPr>
              <w:t>3 jam</w:t>
            </w:r>
          </w:p>
        </w:tc>
        <w:tc>
          <w:tcPr>
            <w:tcW w:w="1134" w:type="dxa"/>
            <w:tcBorders>
              <w:top w:val="single" w:sz="4" w:space="0" w:color="auto"/>
              <w:bottom w:val="single" w:sz="4" w:space="0" w:color="auto"/>
            </w:tcBorders>
          </w:tcPr>
          <w:p w14:paraId="281DB98C" w14:textId="77777777" w:rsidR="006F40CF" w:rsidRPr="006F40CF" w:rsidRDefault="006F40CF" w:rsidP="006F40CF">
            <w:pPr>
              <w:spacing w:line="276" w:lineRule="auto"/>
              <w:ind w:right="27" w:hanging="105"/>
              <w:jc w:val="center"/>
              <w:rPr>
                <w:rFonts w:eastAsiaTheme="minorHAnsi"/>
                <w:lang w:val="en-US"/>
              </w:rPr>
            </w:pPr>
            <w:r w:rsidRPr="006F40CF">
              <w:rPr>
                <w:rFonts w:eastAsiaTheme="minorHAnsi"/>
                <w:lang w:val="en-US"/>
              </w:rPr>
              <w:t>4 jam</w:t>
            </w:r>
          </w:p>
        </w:tc>
        <w:tc>
          <w:tcPr>
            <w:tcW w:w="1134" w:type="dxa"/>
            <w:tcBorders>
              <w:top w:val="single" w:sz="4" w:space="0" w:color="auto"/>
              <w:bottom w:val="single" w:sz="4" w:space="0" w:color="auto"/>
            </w:tcBorders>
          </w:tcPr>
          <w:p w14:paraId="1763FE16" w14:textId="77777777" w:rsidR="006F40CF" w:rsidRPr="006F40CF" w:rsidRDefault="006F40CF" w:rsidP="006F40CF">
            <w:pPr>
              <w:spacing w:line="276" w:lineRule="auto"/>
              <w:ind w:right="27" w:hanging="105"/>
              <w:jc w:val="center"/>
              <w:rPr>
                <w:rFonts w:eastAsiaTheme="minorHAnsi"/>
                <w:lang w:val="en-US"/>
              </w:rPr>
            </w:pPr>
            <w:r w:rsidRPr="006F40CF">
              <w:rPr>
                <w:rFonts w:eastAsiaTheme="minorHAnsi"/>
                <w:lang w:val="en-US"/>
              </w:rPr>
              <w:t>5 jam</w:t>
            </w:r>
          </w:p>
        </w:tc>
        <w:tc>
          <w:tcPr>
            <w:tcW w:w="1134" w:type="dxa"/>
            <w:tcBorders>
              <w:top w:val="single" w:sz="4" w:space="0" w:color="auto"/>
              <w:bottom w:val="single" w:sz="4" w:space="0" w:color="auto"/>
            </w:tcBorders>
          </w:tcPr>
          <w:p w14:paraId="72175DBE" w14:textId="77777777" w:rsidR="006F40CF" w:rsidRPr="006F40CF" w:rsidRDefault="006F40CF" w:rsidP="006F40CF">
            <w:pPr>
              <w:spacing w:line="276" w:lineRule="auto"/>
              <w:ind w:right="27" w:hanging="105"/>
              <w:jc w:val="center"/>
              <w:rPr>
                <w:rFonts w:eastAsiaTheme="minorHAnsi"/>
                <w:lang w:val="en-US"/>
              </w:rPr>
            </w:pPr>
            <w:r w:rsidRPr="006F40CF">
              <w:rPr>
                <w:rFonts w:eastAsiaTheme="minorHAnsi"/>
                <w:lang w:val="en-US"/>
              </w:rPr>
              <w:t>6 jam</w:t>
            </w:r>
          </w:p>
        </w:tc>
        <w:tc>
          <w:tcPr>
            <w:tcW w:w="1134" w:type="dxa"/>
            <w:tcBorders>
              <w:top w:val="single" w:sz="4" w:space="0" w:color="auto"/>
              <w:bottom w:val="single" w:sz="4" w:space="0" w:color="auto"/>
            </w:tcBorders>
          </w:tcPr>
          <w:p w14:paraId="0574345E" w14:textId="77777777" w:rsidR="006F40CF" w:rsidRPr="006F40CF" w:rsidRDefault="006F40CF" w:rsidP="006F40CF">
            <w:pPr>
              <w:spacing w:line="276" w:lineRule="auto"/>
              <w:ind w:right="27" w:hanging="105"/>
              <w:jc w:val="center"/>
              <w:rPr>
                <w:rFonts w:eastAsiaTheme="minorHAnsi"/>
                <w:lang w:val="en-US"/>
              </w:rPr>
            </w:pPr>
            <w:r w:rsidRPr="006F40CF">
              <w:rPr>
                <w:rFonts w:eastAsiaTheme="minorHAnsi"/>
                <w:lang w:val="en-US"/>
              </w:rPr>
              <w:t>7 jam</w:t>
            </w:r>
          </w:p>
        </w:tc>
      </w:tr>
      <w:tr w:rsidR="00197F58" w:rsidRPr="00197F58" w14:paraId="36DCA0CF" w14:textId="77777777" w:rsidTr="006F40CF">
        <w:trPr>
          <w:trHeight w:val="311"/>
        </w:trPr>
        <w:tc>
          <w:tcPr>
            <w:tcW w:w="1418" w:type="dxa"/>
            <w:tcBorders>
              <w:top w:val="single" w:sz="4" w:space="0" w:color="auto"/>
            </w:tcBorders>
          </w:tcPr>
          <w:p w14:paraId="4D6A9862" w14:textId="77777777" w:rsidR="00197F58" w:rsidRPr="00197F58" w:rsidRDefault="00197F58" w:rsidP="00197F58">
            <w:pPr>
              <w:spacing w:line="276" w:lineRule="auto"/>
              <w:rPr>
                <w:rFonts w:eastAsiaTheme="minorHAnsi"/>
                <w:lang w:val="en-US"/>
              </w:rPr>
            </w:pPr>
            <w:r w:rsidRPr="00197F58">
              <w:rPr>
                <w:rFonts w:eastAsiaTheme="minorHAnsi"/>
                <w:lang w:val="en-US"/>
              </w:rPr>
              <w:t>Kontrol negatif (Na-CMC)</w:t>
            </w:r>
          </w:p>
        </w:tc>
        <w:tc>
          <w:tcPr>
            <w:tcW w:w="1134" w:type="dxa"/>
            <w:tcBorders>
              <w:top w:val="single" w:sz="4" w:space="0" w:color="auto"/>
            </w:tcBorders>
          </w:tcPr>
          <w:p w14:paraId="0D64B502"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34.25±2.21</w:t>
            </w:r>
          </w:p>
        </w:tc>
        <w:tc>
          <w:tcPr>
            <w:tcW w:w="1134" w:type="dxa"/>
            <w:tcBorders>
              <w:top w:val="single" w:sz="4" w:space="0" w:color="auto"/>
            </w:tcBorders>
          </w:tcPr>
          <w:p w14:paraId="6B80B330"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35±1.82</w:t>
            </w:r>
            <w:r w:rsidRPr="00197F58">
              <w:rPr>
                <w:rFonts w:eastAsiaTheme="minorHAnsi"/>
                <w:vertAlign w:val="superscript"/>
                <w:lang w:val="en-US"/>
              </w:rPr>
              <w:t>b</w:t>
            </w:r>
          </w:p>
        </w:tc>
        <w:tc>
          <w:tcPr>
            <w:tcW w:w="1134" w:type="dxa"/>
            <w:tcBorders>
              <w:top w:val="single" w:sz="4" w:space="0" w:color="auto"/>
            </w:tcBorders>
          </w:tcPr>
          <w:p w14:paraId="436731BF"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35.50±1.91</w:t>
            </w:r>
            <w:r w:rsidRPr="00197F58">
              <w:rPr>
                <w:rFonts w:eastAsiaTheme="minorHAnsi"/>
                <w:vertAlign w:val="superscript"/>
                <w:lang w:val="en-US"/>
              </w:rPr>
              <w:t>b</w:t>
            </w:r>
          </w:p>
        </w:tc>
        <w:tc>
          <w:tcPr>
            <w:tcW w:w="1134" w:type="dxa"/>
            <w:tcBorders>
              <w:top w:val="single" w:sz="4" w:space="0" w:color="auto"/>
            </w:tcBorders>
          </w:tcPr>
          <w:p w14:paraId="68EC4938"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36±1.82</w:t>
            </w:r>
            <w:r w:rsidRPr="00197F58">
              <w:rPr>
                <w:rFonts w:eastAsiaTheme="minorHAnsi"/>
                <w:vertAlign w:val="superscript"/>
                <w:lang w:val="en-US"/>
              </w:rPr>
              <w:t>b</w:t>
            </w:r>
          </w:p>
        </w:tc>
        <w:tc>
          <w:tcPr>
            <w:tcW w:w="1134" w:type="dxa"/>
            <w:tcBorders>
              <w:top w:val="single" w:sz="4" w:space="0" w:color="auto"/>
            </w:tcBorders>
          </w:tcPr>
          <w:p w14:paraId="4BC1EB92"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36.50±1.29</w:t>
            </w:r>
            <w:r w:rsidRPr="00197F58">
              <w:rPr>
                <w:rFonts w:eastAsiaTheme="minorHAnsi"/>
                <w:vertAlign w:val="superscript"/>
                <w:lang w:val="en-US"/>
              </w:rPr>
              <w:t>b</w:t>
            </w:r>
          </w:p>
        </w:tc>
        <w:tc>
          <w:tcPr>
            <w:tcW w:w="1134" w:type="dxa"/>
            <w:tcBorders>
              <w:top w:val="single" w:sz="4" w:space="0" w:color="auto"/>
            </w:tcBorders>
          </w:tcPr>
          <w:p w14:paraId="69770E0A"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37.25±1.5</w:t>
            </w:r>
            <w:r w:rsidRPr="00197F58">
              <w:rPr>
                <w:rFonts w:eastAsiaTheme="minorHAnsi"/>
                <w:vertAlign w:val="superscript"/>
                <w:lang w:val="en-US"/>
              </w:rPr>
              <w:t>b</w:t>
            </w:r>
          </w:p>
        </w:tc>
        <w:tc>
          <w:tcPr>
            <w:tcW w:w="1134" w:type="dxa"/>
            <w:tcBorders>
              <w:top w:val="single" w:sz="4" w:space="0" w:color="auto"/>
            </w:tcBorders>
          </w:tcPr>
          <w:p w14:paraId="176272D9"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38±0.81</w:t>
            </w:r>
            <w:r w:rsidRPr="00197F58">
              <w:rPr>
                <w:rFonts w:eastAsiaTheme="minorHAnsi"/>
                <w:vertAlign w:val="superscript"/>
                <w:lang w:val="en-US"/>
              </w:rPr>
              <w:t>b</w:t>
            </w:r>
          </w:p>
        </w:tc>
      </w:tr>
      <w:tr w:rsidR="00197F58" w:rsidRPr="00197F58" w14:paraId="6B3A96AF" w14:textId="77777777" w:rsidTr="006F40CF">
        <w:trPr>
          <w:trHeight w:val="311"/>
        </w:trPr>
        <w:tc>
          <w:tcPr>
            <w:tcW w:w="1418" w:type="dxa"/>
          </w:tcPr>
          <w:p w14:paraId="491204F5" w14:textId="77777777" w:rsidR="00197F58" w:rsidRPr="00197F58" w:rsidRDefault="00197F58" w:rsidP="00197F58">
            <w:pPr>
              <w:spacing w:line="276" w:lineRule="auto"/>
              <w:rPr>
                <w:rFonts w:eastAsiaTheme="minorHAnsi"/>
                <w:lang w:val="en-US"/>
              </w:rPr>
            </w:pPr>
            <w:r w:rsidRPr="00197F58">
              <w:rPr>
                <w:rFonts w:eastAsiaTheme="minorHAnsi"/>
                <w:lang w:val="en-US"/>
              </w:rPr>
              <w:t>Kontrol positif (Na-Diklofenak)</w:t>
            </w:r>
          </w:p>
        </w:tc>
        <w:tc>
          <w:tcPr>
            <w:tcW w:w="1134" w:type="dxa"/>
          </w:tcPr>
          <w:p w14:paraId="53550A16"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34±2.94</w:t>
            </w:r>
          </w:p>
        </w:tc>
        <w:tc>
          <w:tcPr>
            <w:tcW w:w="1134" w:type="dxa"/>
          </w:tcPr>
          <w:p w14:paraId="0070DB18"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31.50±3.10</w:t>
            </w:r>
            <w:r w:rsidRPr="00197F58">
              <w:rPr>
                <w:rFonts w:eastAsiaTheme="minorHAnsi"/>
                <w:vertAlign w:val="superscript"/>
                <w:lang w:val="en-US"/>
              </w:rPr>
              <w:t>a</w:t>
            </w:r>
          </w:p>
        </w:tc>
        <w:tc>
          <w:tcPr>
            <w:tcW w:w="1134" w:type="dxa"/>
          </w:tcPr>
          <w:p w14:paraId="0491C6D1"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30±2.70</w:t>
            </w:r>
            <w:r w:rsidRPr="00197F58">
              <w:rPr>
                <w:rFonts w:eastAsiaTheme="minorHAnsi"/>
                <w:vertAlign w:val="superscript"/>
                <w:lang w:val="en-US"/>
              </w:rPr>
              <w:t>a</w:t>
            </w:r>
          </w:p>
        </w:tc>
        <w:tc>
          <w:tcPr>
            <w:tcW w:w="1134" w:type="dxa"/>
          </w:tcPr>
          <w:p w14:paraId="67850203"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28.75±3.09</w:t>
            </w:r>
            <w:r w:rsidRPr="00197F58">
              <w:rPr>
                <w:rFonts w:eastAsiaTheme="minorHAnsi"/>
                <w:vertAlign w:val="superscript"/>
                <w:lang w:val="en-US"/>
              </w:rPr>
              <w:t>a</w:t>
            </w:r>
          </w:p>
        </w:tc>
        <w:tc>
          <w:tcPr>
            <w:tcW w:w="1134" w:type="dxa"/>
          </w:tcPr>
          <w:p w14:paraId="74AB1A5D"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27.75±2.98</w:t>
            </w:r>
            <w:r w:rsidRPr="00197F58">
              <w:rPr>
                <w:rFonts w:eastAsiaTheme="minorHAnsi"/>
                <w:vertAlign w:val="superscript"/>
                <w:lang w:val="en-US"/>
              </w:rPr>
              <w:t>a</w:t>
            </w:r>
          </w:p>
        </w:tc>
        <w:tc>
          <w:tcPr>
            <w:tcW w:w="1134" w:type="dxa"/>
          </w:tcPr>
          <w:p w14:paraId="631F6A9A"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26.25±2.63</w:t>
            </w:r>
            <w:r w:rsidRPr="00197F58">
              <w:rPr>
                <w:rFonts w:eastAsiaTheme="minorHAnsi"/>
                <w:vertAlign w:val="superscript"/>
                <w:lang w:val="en-US"/>
              </w:rPr>
              <w:t>a</w:t>
            </w:r>
          </w:p>
        </w:tc>
        <w:tc>
          <w:tcPr>
            <w:tcW w:w="1134" w:type="dxa"/>
          </w:tcPr>
          <w:p w14:paraId="474989DC"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24±3.26</w:t>
            </w:r>
            <w:r w:rsidRPr="00197F58">
              <w:rPr>
                <w:rFonts w:eastAsiaTheme="minorHAnsi"/>
                <w:vertAlign w:val="superscript"/>
                <w:lang w:val="en-US"/>
              </w:rPr>
              <w:t>a</w:t>
            </w:r>
          </w:p>
        </w:tc>
      </w:tr>
      <w:tr w:rsidR="00197F58" w:rsidRPr="00197F58" w14:paraId="7212B157" w14:textId="77777777" w:rsidTr="006F40CF">
        <w:trPr>
          <w:trHeight w:val="311"/>
        </w:trPr>
        <w:tc>
          <w:tcPr>
            <w:tcW w:w="1418" w:type="dxa"/>
          </w:tcPr>
          <w:p w14:paraId="41B3A8A4" w14:textId="77777777" w:rsidR="00197F58" w:rsidRPr="00197F58" w:rsidRDefault="00197F58" w:rsidP="00197F58">
            <w:pPr>
              <w:spacing w:line="276" w:lineRule="auto"/>
              <w:rPr>
                <w:rFonts w:eastAsiaTheme="minorHAnsi"/>
                <w:lang w:val="en-US"/>
              </w:rPr>
            </w:pPr>
            <w:r w:rsidRPr="00197F58">
              <w:rPr>
                <w:rFonts w:eastAsiaTheme="minorHAnsi"/>
                <w:lang w:val="en-US"/>
              </w:rPr>
              <w:t>EEBH100 mg/kgBB</w:t>
            </w:r>
          </w:p>
        </w:tc>
        <w:tc>
          <w:tcPr>
            <w:tcW w:w="1134" w:type="dxa"/>
          </w:tcPr>
          <w:p w14:paraId="2459792A"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30.50±3.00</w:t>
            </w:r>
            <w:r w:rsidRPr="00197F58">
              <w:rPr>
                <w:rFonts w:eastAsiaTheme="minorHAnsi"/>
                <w:vertAlign w:val="superscript"/>
                <w:lang w:val="en-US"/>
              </w:rPr>
              <w:t>ab</w:t>
            </w:r>
          </w:p>
        </w:tc>
        <w:tc>
          <w:tcPr>
            <w:tcW w:w="1134" w:type="dxa"/>
          </w:tcPr>
          <w:p w14:paraId="178A1514"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30.50±3.00</w:t>
            </w:r>
            <w:r w:rsidRPr="00197F58">
              <w:rPr>
                <w:rFonts w:eastAsiaTheme="minorHAnsi"/>
                <w:vertAlign w:val="superscript"/>
                <w:lang w:val="en-US"/>
              </w:rPr>
              <w:t>a</w:t>
            </w:r>
          </w:p>
        </w:tc>
        <w:tc>
          <w:tcPr>
            <w:tcW w:w="1134" w:type="dxa"/>
          </w:tcPr>
          <w:p w14:paraId="27576B6C"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30.50±3.00</w:t>
            </w:r>
            <w:r w:rsidRPr="00197F58">
              <w:rPr>
                <w:rFonts w:eastAsiaTheme="minorHAnsi"/>
                <w:vertAlign w:val="superscript"/>
                <w:lang w:val="en-US"/>
              </w:rPr>
              <w:t>a</w:t>
            </w:r>
          </w:p>
        </w:tc>
        <w:tc>
          <w:tcPr>
            <w:tcW w:w="1134" w:type="dxa"/>
          </w:tcPr>
          <w:p w14:paraId="5FC0C8D4"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27.50±3.00</w:t>
            </w:r>
            <w:r w:rsidRPr="00197F58">
              <w:rPr>
                <w:rFonts w:eastAsiaTheme="minorHAnsi"/>
                <w:vertAlign w:val="superscript"/>
                <w:lang w:val="en-US"/>
              </w:rPr>
              <w:t>a</w:t>
            </w:r>
          </w:p>
        </w:tc>
        <w:tc>
          <w:tcPr>
            <w:tcW w:w="1134" w:type="dxa"/>
          </w:tcPr>
          <w:p w14:paraId="01E54882"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27.50±3.00</w:t>
            </w:r>
            <w:r w:rsidRPr="00197F58">
              <w:rPr>
                <w:rFonts w:eastAsiaTheme="minorHAnsi"/>
                <w:vertAlign w:val="superscript"/>
                <w:lang w:val="en-US"/>
              </w:rPr>
              <w:t>a</w:t>
            </w:r>
          </w:p>
        </w:tc>
        <w:tc>
          <w:tcPr>
            <w:tcW w:w="1134" w:type="dxa"/>
          </w:tcPr>
          <w:p w14:paraId="541B4E62"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27.50±3.00</w:t>
            </w:r>
            <w:r w:rsidRPr="00197F58">
              <w:rPr>
                <w:rFonts w:eastAsiaTheme="minorHAnsi"/>
                <w:vertAlign w:val="superscript"/>
                <w:lang w:val="en-US"/>
              </w:rPr>
              <w:t>a</w:t>
            </w:r>
          </w:p>
        </w:tc>
        <w:tc>
          <w:tcPr>
            <w:tcW w:w="1134" w:type="dxa"/>
          </w:tcPr>
          <w:p w14:paraId="369AF76C"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24.50±3.00</w:t>
            </w:r>
            <w:r w:rsidRPr="00197F58">
              <w:rPr>
                <w:rFonts w:eastAsiaTheme="minorHAnsi"/>
                <w:vertAlign w:val="superscript"/>
                <w:lang w:val="en-US"/>
              </w:rPr>
              <w:t>a</w:t>
            </w:r>
          </w:p>
        </w:tc>
      </w:tr>
      <w:tr w:rsidR="00197F58" w:rsidRPr="00197F58" w14:paraId="715F524A" w14:textId="77777777" w:rsidTr="00B94D9E">
        <w:trPr>
          <w:trHeight w:val="520"/>
        </w:trPr>
        <w:tc>
          <w:tcPr>
            <w:tcW w:w="1418" w:type="dxa"/>
            <w:tcBorders>
              <w:bottom w:val="nil"/>
            </w:tcBorders>
          </w:tcPr>
          <w:p w14:paraId="522A3EE8" w14:textId="77777777" w:rsidR="00197F58" w:rsidRPr="00197F58" w:rsidRDefault="00197F58" w:rsidP="00197F58">
            <w:pPr>
              <w:spacing w:line="276" w:lineRule="auto"/>
              <w:rPr>
                <w:rFonts w:eastAsiaTheme="minorHAnsi"/>
                <w:lang w:val="en-US"/>
              </w:rPr>
            </w:pPr>
            <w:r w:rsidRPr="00197F58">
              <w:rPr>
                <w:rFonts w:eastAsiaTheme="minorHAnsi"/>
                <w:lang w:val="en-US"/>
              </w:rPr>
              <w:t>EEBH200 mg/kgBB</w:t>
            </w:r>
          </w:p>
        </w:tc>
        <w:tc>
          <w:tcPr>
            <w:tcW w:w="1134" w:type="dxa"/>
            <w:tcBorders>
              <w:bottom w:val="nil"/>
            </w:tcBorders>
          </w:tcPr>
          <w:p w14:paraId="39BC1E20"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33.75±1.25</w:t>
            </w:r>
          </w:p>
        </w:tc>
        <w:tc>
          <w:tcPr>
            <w:tcW w:w="1134" w:type="dxa"/>
            <w:tcBorders>
              <w:bottom w:val="nil"/>
            </w:tcBorders>
          </w:tcPr>
          <w:p w14:paraId="00DC9549"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33.75±1.25</w:t>
            </w:r>
          </w:p>
        </w:tc>
        <w:tc>
          <w:tcPr>
            <w:tcW w:w="1134" w:type="dxa"/>
            <w:tcBorders>
              <w:bottom w:val="nil"/>
            </w:tcBorders>
          </w:tcPr>
          <w:p w14:paraId="2957B4F6"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30.75±1.25</w:t>
            </w:r>
            <w:r w:rsidRPr="00197F58">
              <w:rPr>
                <w:rFonts w:eastAsiaTheme="minorHAnsi"/>
                <w:vertAlign w:val="superscript"/>
                <w:lang w:val="en-US"/>
              </w:rPr>
              <w:t>a</w:t>
            </w:r>
          </w:p>
        </w:tc>
        <w:tc>
          <w:tcPr>
            <w:tcW w:w="1134" w:type="dxa"/>
            <w:tcBorders>
              <w:bottom w:val="nil"/>
            </w:tcBorders>
          </w:tcPr>
          <w:p w14:paraId="24C617FD"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30.75±1.25</w:t>
            </w:r>
            <w:r w:rsidRPr="00197F58">
              <w:rPr>
                <w:rFonts w:eastAsiaTheme="minorHAnsi"/>
                <w:vertAlign w:val="superscript"/>
                <w:lang w:val="en-US"/>
              </w:rPr>
              <w:t>a</w:t>
            </w:r>
          </w:p>
        </w:tc>
        <w:tc>
          <w:tcPr>
            <w:tcW w:w="1134" w:type="dxa"/>
            <w:tcBorders>
              <w:bottom w:val="nil"/>
            </w:tcBorders>
          </w:tcPr>
          <w:p w14:paraId="5E9302FD"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27.75±1.25</w:t>
            </w:r>
            <w:r w:rsidRPr="00197F58">
              <w:rPr>
                <w:rFonts w:eastAsiaTheme="minorHAnsi"/>
                <w:vertAlign w:val="superscript"/>
                <w:lang w:val="en-US"/>
              </w:rPr>
              <w:t>a</w:t>
            </w:r>
          </w:p>
        </w:tc>
        <w:tc>
          <w:tcPr>
            <w:tcW w:w="1134" w:type="dxa"/>
            <w:tcBorders>
              <w:bottom w:val="nil"/>
            </w:tcBorders>
          </w:tcPr>
          <w:p w14:paraId="48E67D56"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27.75±1.25</w:t>
            </w:r>
            <w:r w:rsidRPr="00197F58">
              <w:rPr>
                <w:rFonts w:eastAsiaTheme="minorHAnsi"/>
                <w:vertAlign w:val="superscript"/>
                <w:lang w:val="en-US"/>
              </w:rPr>
              <w:t>a</w:t>
            </w:r>
          </w:p>
        </w:tc>
        <w:tc>
          <w:tcPr>
            <w:tcW w:w="1134" w:type="dxa"/>
            <w:tcBorders>
              <w:bottom w:val="nil"/>
            </w:tcBorders>
          </w:tcPr>
          <w:p w14:paraId="4D633118"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24.75±1.25</w:t>
            </w:r>
            <w:r w:rsidRPr="00197F58">
              <w:rPr>
                <w:rFonts w:eastAsiaTheme="minorHAnsi"/>
                <w:vertAlign w:val="superscript"/>
                <w:lang w:val="en-US"/>
              </w:rPr>
              <w:t>a</w:t>
            </w:r>
          </w:p>
        </w:tc>
      </w:tr>
      <w:tr w:rsidR="00197F58" w:rsidRPr="00197F58" w14:paraId="547CB482" w14:textId="77777777" w:rsidTr="00B94D9E">
        <w:trPr>
          <w:trHeight w:val="415"/>
        </w:trPr>
        <w:tc>
          <w:tcPr>
            <w:tcW w:w="1418" w:type="dxa"/>
            <w:tcBorders>
              <w:top w:val="nil"/>
              <w:bottom w:val="single" w:sz="4" w:space="0" w:color="auto"/>
            </w:tcBorders>
          </w:tcPr>
          <w:p w14:paraId="70E4C249" w14:textId="77777777" w:rsidR="00197F58" w:rsidRPr="00197F58" w:rsidRDefault="00197F58" w:rsidP="00197F58">
            <w:pPr>
              <w:spacing w:line="276" w:lineRule="auto"/>
              <w:rPr>
                <w:rFonts w:eastAsiaTheme="minorHAnsi"/>
                <w:lang w:val="en-US"/>
              </w:rPr>
            </w:pPr>
            <w:r w:rsidRPr="00197F58">
              <w:rPr>
                <w:rFonts w:eastAsiaTheme="minorHAnsi"/>
                <w:lang w:val="en-US"/>
              </w:rPr>
              <w:t>EEBH400mg/kgBB</w:t>
            </w:r>
          </w:p>
        </w:tc>
        <w:tc>
          <w:tcPr>
            <w:tcW w:w="1134" w:type="dxa"/>
            <w:tcBorders>
              <w:top w:val="nil"/>
              <w:bottom w:val="single" w:sz="4" w:space="0" w:color="auto"/>
            </w:tcBorders>
          </w:tcPr>
          <w:p w14:paraId="12FE6FD2"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33.25±0.5</w:t>
            </w:r>
          </w:p>
        </w:tc>
        <w:tc>
          <w:tcPr>
            <w:tcW w:w="1134" w:type="dxa"/>
            <w:tcBorders>
              <w:top w:val="nil"/>
              <w:bottom w:val="single" w:sz="4" w:space="0" w:color="auto"/>
            </w:tcBorders>
          </w:tcPr>
          <w:p w14:paraId="46148429"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33.25±0.5</w:t>
            </w:r>
          </w:p>
        </w:tc>
        <w:tc>
          <w:tcPr>
            <w:tcW w:w="1134" w:type="dxa"/>
            <w:tcBorders>
              <w:top w:val="nil"/>
              <w:bottom w:val="single" w:sz="4" w:space="0" w:color="auto"/>
            </w:tcBorders>
          </w:tcPr>
          <w:p w14:paraId="1C1EED91"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29.25±0.5</w:t>
            </w:r>
            <w:r w:rsidRPr="00197F58">
              <w:rPr>
                <w:rFonts w:eastAsiaTheme="minorHAnsi"/>
                <w:vertAlign w:val="superscript"/>
                <w:lang w:val="en-US"/>
              </w:rPr>
              <w:t>a</w:t>
            </w:r>
          </w:p>
        </w:tc>
        <w:tc>
          <w:tcPr>
            <w:tcW w:w="1134" w:type="dxa"/>
            <w:tcBorders>
              <w:top w:val="nil"/>
              <w:bottom w:val="single" w:sz="4" w:space="0" w:color="auto"/>
            </w:tcBorders>
          </w:tcPr>
          <w:p w14:paraId="698C90E4"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29.25±0.5</w:t>
            </w:r>
            <w:r w:rsidRPr="00197F58">
              <w:rPr>
                <w:rFonts w:eastAsiaTheme="minorHAnsi"/>
                <w:vertAlign w:val="superscript"/>
                <w:lang w:val="en-US"/>
              </w:rPr>
              <w:t>a</w:t>
            </w:r>
          </w:p>
        </w:tc>
        <w:tc>
          <w:tcPr>
            <w:tcW w:w="1134" w:type="dxa"/>
            <w:tcBorders>
              <w:top w:val="nil"/>
              <w:bottom w:val="single" w:sz="4" w:space="0" w:color="auto"/>
            </w:tcBorders>
          </w:tcPr>
          <w:p w14:paraId="509F6407"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25.25±0.5</w:t>
            </w:r>
            <w:r w:rsidRPr="00197F58">
              <w:rPr>
                <w:rFonts w:eastAsiaTheme="minorHAnsi"/>
                <w:vertAlign w:val="superscript"/>
                <w:lang w:val="en-US"/>
              </w:rPr>
              <w:t>a</w:t>
            </w:r>
          </w:p>
        </w:tc>
        <w:tc>
          <w:tcPr>
            <w:tcW w:w="1134" w:type="dxa"/>
            <w:tcBorders>
              <w:top w:val="nil"/>
              <w:bottom w:val="single" w:sz="4" w:space="0" w:color="auto"/>
            </w:tcBorders>
          </w:tcPr>
          <w:p w14:paraId="0DCD3B49"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25.25±0.5</w:t>
            </w:r>
            <w:r w:rsidRPr="00197F58">
              <w:rPr>
                <w:rFonts w:eastAsiaTheme="minorHAnsi"/>
                <w:vertAlign w:val="superscript"/>
                <w:lang w:val="en-US"/>
              </w:rPr>
              <w:t>a</w:t>
            </w:r>
          </w:p>
        </w:tc>
        <w:tc>
          <w:tcPr>
            <w:tcW w:w="1134" w:type="dxa"/>
            <w:tcBorders>
              <w:top w:val="nil"/>
              <w:bottom w:val="single" w:sz="4" w:space="0" w:color="auto"/>
            </w:tcBorders>
          </w:tcPr>
          <w:p w14:paraId="156811B9" w14:textId="77777777" w:rsidR="00197F58" w:rsidRPr="00197F58" w:rsidRDefault="00197F58" w:rsidP="006F40CF">
            <w:pPr>
              <w:spacing w:line="276" w:lineRule="auto"/>
              <w:ind w:right="27" w:hanging="105"/>
              <w:rPr>
                <w:rFonts w:eastAsiaTheme="minorHAnsi"/>
                <w:lang w:val="en-US"/>
              </w:rPr>
            </w:pPr>
            <w:r w:rsidRPr="00197F58">
              <w:rPr>
                <w:rFonts w:eastAsiaTheme="minorHAnsi"/>
                <w:lang w:val="en-US"/>
              </w:rPr>
              <w:t>21.25±0.5</w:t>
            </w:r>
            <w:r w:rsidRPr="00197F58">
              <w:rPr>
                <w:rFonts w:eastAsiaTheme="minorHAnsi"/>
                <w:vertAlign w:val="superscript"/>
                <w:lang w:val="en-US"/>
              </w:rPr>
              <w:t>a</w:t>
            </w:r>
          </w:p>
        </w:tc>
      </w:tr>
    </w:tbl>
    <w:p w14:paraId="338983DA" w14:textId="3F323394" w:rsidR="00C66657" w:rsidRPr="00B94D9E" w:rsidRDefault="00B94D9E" w:rsidP="00032B17">
      <w:pPr>
        <w:spacing w:line="276" w:lineRule="auto"/>
        <w:jc w:val="both"/>
        <w:rPr>
          <w:rFonts w:eastAsiaTheme="minorHAnsi"/>
          <w:lang w:val="fi-FI"/>
        </w:rPr>
      </w:pPr>
      <w:r w:rsidRPr="00B94D9E">
        <w:rPr>
          <w:rFonts w:eastAsiaTheme="minorHAnsi"/>
          <w:lang w:val="fi-FI"/>
        </w:rPr>
        <w:t xml:space="preserve">Tabel </w:t>
      </w:r>
      <w:r>
        <w:rPr>
          <w:rFonts w:eastAsiaTheme="minorHAnsi"/>
          <w:lang w:val="fi-FI"/>
        </w:rPr>
        <w:t xml:space="preserve">3 </w:t>
      </w:r>
      <w:r w:rsidRPr="00B94D9E">
        <w:rPr>
          <w:rFonts w:eastAsiaTheme="minorHAnsi"/>
          <w:lang w:val="fi-FI"/>
        </w:rPr>
        <w:t xml:space="preserve">menunjukkan </w:t>
      </w:r>
      <w:r>
        <w:rPr>
          <w:rFonts w:eastAsiaTheme="minorHAnsi"/>
          <w:lang w:val="fi-FI"/>
        </w:rPr>
        <w:t xml:space="preserve">bahwa </w:t>
      </w:r>
      <w:r w:rsidRPr="00B94D9E">
        <w:rPr>
          <w:rFonts w:eastAsiaTheme="minorHAnsi"/>
          <w:lang w:val="fi-FI"/>
        </w:rPr>
        <w:t>perubahan rata-rata ukuran peradangan pada kaki tikus setelah pemberian perlakuan selama 7 jam. Kelompok kontrol negatif (Na-CMC) mengalami peningkatan inflamasi secara bertahap dari 34,25 ± 2,21 menjadi 38 ± 0,81, yang menunjukkan perkembangan edema akibat induksi karagenan. Sebaliknya, kontrol positif (natrium diklofenak) mampu menurunkan ukuran peradangan dari 34 ± 2,94 menjadi 24 ± 3,26. Pemberian EEBH pada berbagai dosis juga menunjukkan penurunan inflamasi, dengan dosis 100 mg/kgBB menurunkan ukuran radang hingga 24,50 ± 3,00, dosis 200 mg/kgBB hingga 24,75 ± 1,25, dan dosis 400 mg/kgBB memberikan efek paling besar dengan penurunan hingga 21,25 ± 0,50 pada jam ke-7. Hasil ini menunjukkan bahwa EEBH memiliki aktivitas antiinflamasi yang meningkat seiring dengan peningkatan dosis, ditandai dengan penurunan ukuran edema dibandingkan kontrol negatif.</w:t>
      </w:r>
    </w:p>
    <w:p w14:paraId="788BFA83" w14:textId="77777777" w:rsidR="003B0A06" w:rsidRPr="00B94D9E" w:rsidRDefault="003B0A06" w:rsidP="009A1611">
      <w:pPr>
        <w:pStyle w:val="Els-body-text"/>
        <w:spacing w:line="276" w:lineRule="auto"/>
        <w:ind w:firstLine="0"/>
        <w:rPr>
          <w:lang w:val="fi-FI"/>
        </w:rPr>
      </w:pPr>
    </w:p>
    <w:p w14:paraId="48C5A792" w14:textId="7D0DDA19" w:rsidR="00666F9C" w:rsidRPr="002F0D02" w:rsidRDefault="00032B17" w:rsidP="00544D7B">
      <w:pPr>
        <w:pStyle w:val="Els-body-text"/>
        <w:numPr>
          <w:ilvl w:val="0"/>
          <w:numId w:val="10"/>
        </w:numPr>
        <w:spacing w:line="276" w:lineRule="auto"/>
        <w:ind w:left="284" w:hanging="284"/>
        <w:rPr>
          <w:b/>
        </w:rPr>
      </w:pPr>
      <w:r>
        <w:rPr>
          <w:b/>
          <w:lang w:val="en-GB"/>
        </w:rPr>
        <w:t>PEMBAHASAN</w:t>
      </w:r>
    </w:p>
    <w:p w14:paraId="040A068D" w14:textId="5641DABB" w:rsidR="00B94D9E" w:rsidRPr="00B94D9E" w:rsidRDefault="00B94D9E" w:rsidP="00B94D9E">
      <w:pPr>
        <w:pStyle w:val="Els-body-text"/>
        <w:tabs>
          <w:tab w:val="left" w:pos="7654"/>
        </w:tabs>
        <w:spacing w:line="276" w:lineRule="auto"/>
        <w:ind w:firstLine="0"/>
        <w:rPr>
          <w:bCs/>
          <w:lang w:val="en-GB"/>
        </w:rPr>
      </w:pPr>
      <w:r w:rsidRPr="00B94D9E">
        <w:rPr>
          <w:bCs/>
          <w:lang w:val="en-GB"/>
        </w:rPr>
        <w:t>Perubahan warna menjadi hitam selama fermentasi berkaitan dengan terjadinya reaksi pencokelatan non-enzimatis</w:t>
      </w:r>
      <w:r w:rsidRPr="00B94D9E">
        <w:rPr>
          <w:bCs/>
          <w:i/>
          <w:iCs/>
          <w:lang w:val="en-GB"/>
        </w:rPr>
        <w:t xml:space="preserve"> (Maillard reaction)</w:t>
      </w:r>
      <w:r w:rsidRPr="00B94D9E">
        <w:rPr>
          <w:bCs/>
          <w:lang w:val="en-GB"/>
        </w:rPr>
        <w:t xml:space="preserve"> antara gula pereduksi dan asam amino yang berlangsung pada kondisi suhu tinggi dan kelembapan tertentu</w:t>
      </w:r>
      <w:r w:rsidR="00985A58">
        <w:rPr>
          <w:bCs/>
          <w:lang w:val="en-GB"/>
        </w:rPr>
        <w:t xml:space="preserve"> [11]</w:t>
      </w:r>
      <w:r w:rsidRPr="00B94D9E">
        <w:rPr>
          <w:bCs/>
          <w:lang w:val="en-GB"/>
        </w:rPr>
        <w:t xml:space="preserve">. Reaksi tersebut menghasilkan senyawa melanoidin yang memberikan warna gelap pada bawang hitam. Selain itu, proses pemanasan selama fermentasi juga menyebabkan degradasi </w:t>
      </w:r>
      <w:r w:rsidRPr="00B94D9E">
        <w:rPr>
          <w:bCs/>
          <w:lang w:val="en-GB"/>
        </w:rPr>
        <w:lastRenderedPageBreak/>
        <w:t>senyawa sulfur penyebab aroma menyengat pada bawang putih, sehingga aroma menjadi lebih lembut dan rasa pedas berkurang akibat peningkatan komponen gula sederhana</w:t>
      </w:r>
      <w:r>
        <w:rPr>
          <w:bCs/>
          <w:lang w:val="en-GB"/>
        </w:rPr>
        <w:t xml:space="preserve"> [1</w:t>
      </w:r>
      <w:r w:rsidR="00985A58">
        <w:rPr>
          <w:bCs/>
          <w:lang w:val="en-GB"/>
        </w:rPr>
        <w:t>2</w:t>
      </w:r>
      <w:r>
        <w:rPr>
          <w:bCs/>
          <w:lang w:val="en-GB"/>
        </w:rPr>
        <w:t>].</w:t>
      </w:r>
    </w:p>
    <w:p w14:paraId="0FA9F630" w14:textId="77777777" w:rsidR="00B94D9E" w:rsidRPr="00B94D9E" w:rsidRDefault="00B94D9E" w:rsidP="00B94D9E">
      <w:pPr>
        <w:pStyle w:val="Els-body-text"/>
        <w:tabs>
          <w:tab w:val="left" w:pos="7654"/>
        </w:tabs>
        <w:spacing w:line="276" w:lineRule="auto"/>
        <w:rPr>
          <w:bCs/>
          <w:lang w:val="en-GB"/>
        </w:rPr>
      </w:pPr>
    </w:p>
    <w:p w14:paraId="6C08354E" w14:textId="0B334308" w:rsidR="00032B17" w:rsidRPr="00680905" w:rsidRDefault="00B94D9E" w:rsidP="00B94D9E">
      <w:pPr>
        <w:pStyle w:val="Els-body-text"/>
        <w:tabs>
          <w:tab w:val="left" w:pos="7654"/>
        </w:tabs>
        <w:spacing w:line="276" w:lineRule="auto"/>
        <w:ind w:firstLine="0"/>
        <w:rPr>
          <w:bCs/>
          <w:lang w:val="en-GB"/>
        </w:rPr>
      </w:pPr>
      <w:r w:rsidRPr="00B94D9E">
        <w:rPr>
          <w:bCs/>
          <w:lang w:val="en-GB"/>
        </w:rPr>
        <w:t xml:space="preserve">Hasil penelitian ini menunjukkan bahwa fermentasi selama 14 hari pada suhu 60°C mampu menghasilkan karakteristik fisik bawang hitam yang sesuai. Hal ini sejalan dengan penelitian Krisnawan </w:t>
      </w:r>
      <w:r w:rsidR="00973E90">
        <w:rPr>
          <w:bCs/>
          <w:lang w:val="en-GB"/>
        </w:rPr>
        <w:t>e</w:t>
      </w:r>
      <w:r w:rsidR="00973E90" w:rsidRPr="00973E90">
        <w:rPr>
          <w:bCs/>
          <w:i/>
          <w:iCs/>
          <w:lang w:val="en-GB"/>
        </w:rPr>
        <w:t>t al.,</w:t>
      </w:r>
      <w:r w:rsidR="00973E90">
        <w:rPr>
          <w:bCs/>
          <w:lang w:val="en-GB"/>
        </w:rPr>
        <w:t xml:space="preserve"> </w:t>
      </w:r>
      <w:r w:rsidRPr="00B94D9E">
        <w:rPr>
          <w:bCs/>
          <w:lang w:val="en-GB"/>
        </w:rPr>
        <w:t>(2022) yang melaporkan bahwa lama proses pengolahan berpengaruh terhadap peningkatan kandungan fenolik, flavonoid, dan aktivitas antioksidan bawang hitam akibat perubahan komponen bioaktif selama fermentasi. Penelitian tersebut menunjukkan bahwa semakin lama proses fermentasi, terjadi perubahan komposisi kimia yang menyebabkan peningkatan potensi fungsional bawang hitam</w:t>
      </w:r>
      <w:r w:rsidR="00973E90">
        <w:rPr>
          <w:bCs/>
          <w:lang w:val="en-GB"/>
        </w:rPr>
        <w:t xml:space="preserve"> [1</w:t>
      </w:r>
      <w:r w:rsidR="00985A58">
        <w:rPr>
          <w:bCs/>
          <w:lang w:val="en-GB"/>
        </w:rPr>
        <w:t>3</w:t>
      </w:r>
      <w:r w:rsidR="00973E90">
        <w:rPr>
          <w:bCs/>
          <w:lang w:val="en-GB"/>
        </w:rPr>
        <w:t>]</w:t>
      </w:r>
      <w:r w:rsidR="00126DF2">
        <w:rPr>
          <w:bCs/>
          <w:lang w:val="en-GB"/>
        </w:rPr>
        <w:t>.</w:t>
      </w:r>
    </w:p>
    <w:p w14:paraId="0964918A" w14:textId="77777777" w:rsidR="00032B17" w:rsidRPr="00680905" w:rsidRDefault="00032B17" w:rsidP="00032B17">
      <w:pPr>
        <w:pStyle w:val="Els-body-text"/>
        <w:tabs>
          <w:tab w:val="left" w:pos="7654"/>
        </w:tabs>
        <w:spacing w:line="276" w:lineRule="auto"/>
        <w:ind w:firstLine="0"/>
        <w:rPr>
          <w:bCs/>
          <w:lang w:val="en-GB"/>
        </w:rPr>
      </w:pPr>
    </w:p>
    <w:p w14:paraId="78FC3202" w14:textId="3D3436F0" w:rsidR="00032B17" w:rsidRDefault="00973E90" w:rsidP="00032B17">
      <w:pPr>
        <w:pStyle w:val="Els-body-text"/>
        <w:tabs>
          <w:tab w:val="left" w:pos="7654"/>
        </w:tabs>
        <w:spacing w:line="276" w:lineRule="auto"/>
        <w:ind w:firstLine="0"/>
        <w:rPr>
          <w:bCs/>
          <w:lang w:val="en-GB"/>
        </w:rPr>
      </w:pPr>
      <w:r>
        <w:rPr>
          <w:bCs/>
          <w:lang w:val="en-GB"/>
        </w:rPr>
        <w:t>R</w:t>
      </w:r>
      <w:r w:rsidRPr="00973E90">
        <w:rPr>
          <w:bCs/>
          <w:lang w:val="en-GB"/>
        </w:rPr>
        <w:t xml:space="preserve">endemen ekstrak dipengaruhi oleh </w:t>
      </w:r>
      <w:r>
        <w:rPr>
          <w:bCs/>
          <w:lang w:val="en-GB"/>
        </w:rPr>
        <w:t>faktor</w:t>
      </w:r>
      <w:r w:rsidRPr="00973E90">
        <w:rPr>
          <w:bCs/>
          <w:lang w:val="en-GB"/>
        </w:rPr>
        <w:t xml:space="preserve"> </w:t>
      </w:r>
      <w:r>
        <w:rPr>
          <w:bCs/>
          <w:lang w:val="en-GB"/>
        </w:rPr>
        <w:t xml:space="preserve">seperti </w:t>
      </w:r>
      <w:r w:rsidRPr="00973E90">
        <w:rPr>
          <w:bCs/>
          <w:lang w:val="en-GB"/>
        </w:rPr>
        <w:t>karakteristik bahan awal, ukuran partikel simplisia, jenis pelarut, konsentrasi pelarut, serta lama kontak antara bahan dan pelarut selama proses ekstraksi. Penggunaan etanol 96% pada penelitian ini berperan dalam melarutkan berbagai komponen bioaktif yang terdapat pada bawang hitam, terutama senyawa fenolik, flavonoid, dan senyawa organosulfur yang mengalami perubahan selama proses fermentasi</w:t>
      </w:r>
      <w:r w:rsidR="00985A58">
        <w:rPr>
          <w:bCs/>
          <w:lang w:val="en-GB"/>
        </w:rPr>
        <w:t xml:space="preserve"> [14]</w:t>
      </w:r>
      <w:r>
        <w:rPr>
          <w:bCs/>
          <w:lang w:val="en-GB"/>
        </w:rPr>
        <w:t xml:space="preserve">. </w:t>
      </w:r>
      <w:r w:rsidRPr="00973E90">
        <w:rPr>
          <w:bCs/>
          <w:lang w:val="en-GB"/>
        </w:rPr>
        <w:t>Warna ekstrak yang dihasilkan berupa cokelat kehitaman berkaitan dengan karakteristik bawang hitam setelah mengalami proses fermentasi. Selama fermentasi, terjadi perubahan komponen kimia bawang putih akibat pemanasan dalam kondisi terkendali yang menyebabkan pembentukan senyawa berwarna gelap</w:t>
      </w:r>
      <w:r>
        <w:rPr>
          <w:bCs/>
          <w:lang w:val="en-GB"/>
        </w:rPr>
        <w:t xml:space="preserve"> [1</w:t>
      </w:r>
      <w:r w:rsidR="00985A58">
        <w:rPr>
          <w:bCs/>
          <w:lang w:val="en-GB"/>
        </w:rPr>
        <w:t>5</w:t>
      </w:r>
      <w:r>
        <w:rPr>
          <w:bCs/>
          <w:lang w:val="en-GB"/>
        </w:rPr>
        <w:t xml:space="preserve">]. </w:t>
      </w:r>
    </w:p>
    <w:p w14:paraId="2733E030" w14:textId="77777777" w:rsidR="00973E90" w:rsidRDefault="00973E90" w:rsidP="00032B17">
      <w:pPr>
        <w:pStyle w:val="Els-body-text"/>
        <w:tabs>
          <w:tab w:val="left" w:pos="7654"/>
        </w:tabs>
        <w:spacing w:line="276" w:lineRule="auto"/>
        <w:ind w:firstLine="0"/>
        <w:rPr>
          <w:bCs/>
          <w:lang w:val="en-GB"/>
        </w:rPr>
      </w:pPr>
    </w:p>
    <w:p w14:paraId="7E176325" w14:textId="369891B9" w:rsidR="00032B17" w:rsidRDefault="00973E90" w:rsidP="00973E90">
      <w:pPr>
        <w:pStyle w:val="Els-body-text"/>
        <w:tabs>
          <w:tab w:val="left" w:pos="7654"/>
        </w:tabs>
        <w:spacing w:line="276" w:lineRule="auto"/>
        <w:ind w:firstLine="0"/>
        <w:rPr>
          <w:bCs/>
          <w:lang w:val="en-GB"/>
        </w:rPr>
      </w:pPr>
      <w:r w:rsidRPr="00973E90">
        <w:rPr>
          <w:bCs/>
          <w:lang w:val="en-GB"/>
        </w:rPr>
        <w:t xml:space="preserve">Yuan </w:t>
      </w:r>
      <w:r w:rsidRPr="00ED045E">
        <w:rPr>
          <w:bCs/>
          <w:i/>
          <w:iCs/>
          <w:lang w:val="en-GB"/>
        </w:rPr>
        <w:t>et al.,</w:t>
      </w:r>
      <w:r w:rsidRPr="00973E90">
        <w:rPr>
          <w:bCs/>
          <w:lang w:val="en-GB"/>
        </w:rPr>
        <w:t xml:space="preserve"> (2022) menjelaskan bahwa selama proses fermentasi bawang hitam terjadi peningkatan intensitas pencokelatan (browning intensity) yang disebabkan oleh berlangsungnya reaksi reaksi Maillard</w:t>
      </w:r>
      <w:r>
        <w:rPr>
          <w:bCs/>
          <w:lang w:val="en-GB"/>
        </w:rPr>
        <w:t xml:space="preserve"> </w:t>
      </w:r>
      <w:r w:rsidRPr="00973E90">
        <w:rPr>
          <w:bCs/>
          <w:lang w:val="en-GB"/>
        </w:rPr>
        <w:t>sehingga menghasilkan perubahan warna dari putih menjadi cokelat hingga hitam</w:t>
      </w:r>
      <w:r w:rsidR="00985A58">
        <w:rPr>
          <w:bCs/>
          <w:lang w:val="en-GB"/>
        </w:rPr>
        <w:t xml:space="preserve"> [12]</w:t>
      </w:r>
      <w:r w:rsidRPr="00973E90">
        <w:rPr>
          <w:bCs/>
          <w:lang w:val="en-GB"/>
        </w:rPr>
        <w:t xml:space="preserve">. </w:t>
      </w:r>
      <w:r>
        <w:rPr>
          <w:bCs/>
          <w:lang w:val="en-GB"/>
        </w:rPr>
        <w:t>P</w:t>
      </w:r>
      <w:r w:rsidRPr="00973E90">
        <w:rPr>
          <w:bCs/>
          <w:lang w:val="en-GB"/>
        </w:rPr>
        <w:t>roses fermentasi juga menyebabkan perubahan sifat fisikokimia seperti penurunan kadar air dan perubahan tekstur yang menjadi lebih lunak</w:t>
      </w:r>
      <w:r w:rsidR="00985A58">
        <w:rPr>
          <w:bCs/>
          <w:lang w:val="en-GB"/>
        </w:rPr>
        <w:t xml:space="preserve"> [16]</w:t>
      </w:r>
      <w:r w:rsidRPr="00973E90">
        <w:rPr>
          <w:bCs/>
          <w:lang w:val="en-GB"/>
        </w:rPr>
        <w:t>.</w:t>
      </w:r>
      <w:r>
        <w:rPr>
          <w:bCs/>
          <w:lang w:val="en-GB"/>
        </w:rPr>
        <w:t xml:space="preserve"> P</w:t>
      </w:r>
      <w:r w:rsidRPr="00973E90">
        <w:rPr>
          <w:bCs/>
          <w:lang w:val="en-GB"/>
        </w:rPr>
        <w:t>roses fermentasi bawang hitam menyebabkan perubahan komposisi kimia bahan akibat degradasi komponen awal dan pembentukan senyawa baru selama proses pemanasan, sehingga karakteristik ekstrak yang dihasilkan berbeda dibandingkan bawang putih segar. Perubahan tersebut mendukung peningkatan kandungan komponen hasil fermentasi yang berpotensi memberikan aktivitas biologis</w:t>
      </w:r>
      <w:r>
        <w:rPr>
          <w:bCs/>
          <w:lang w:val="en-GB"/>
        </w:rPr>
        <w:t xml:space="preserve"> [1</w:t>
      </w:r>
      <w:r w:rsidR="00985A58">
        <w:rPr>
          <w:bCs/>
          <w:lang w:val="en-GB"/>
        </w:rPr>
        <w:t>7</w:t>
      </w:r>
      <w:r>
        <w:rPr>
          <w:bCs/>
          <w:lang w:val="en-GB"/>
        </w:rPr>
        <w:t>].</w:t>
      </w:r>
    </w:p>
    <w:p w14:paraId="49D87134" w14:textId="77777777" w:rsidR="00973E90" w:rsidRPr="00680905" w:rsidRDefault="00973E90" w:rsidP="00973E90">
      <w:pPr>
        <w:pStyle w:val="Els-body-text"/>
        <w:tabs>
          <w:tab w:val="left" w:pos="7654"/>
        </w:tabs>
        <w:spacing w:line="276" w:lineRule="auto"/>
        <w:ind w:firstLine="0"/>
        <w:rPr>
          <w:bCs/>
          <w:lang w:val="en-GB"/>
        </w:rPr>
      </w:pPr>
    </w:p>
    <w:p w14:paraId="7DD46085" w14:textId="5AF7ABCB" w:rsidR="00952807" w:rsidRPr="00952807" w:rsidRDefault="00952807" w:rsidP="00952807">
      <w:pPr>
        <w:pStyle w:val="Els-body-text"/>
        <w:tabs>
          <w:tab w:val="left" w:pos="7654"/>
        </w:tabs>
        <w:spacing w:line="276" w:lineRule="auto"/>
        <w:ind w:firstLine="0"/>
        <w:rPr>
          <w:bCs/>
          <w:lang w:val="en-GB"/>
        </w:rPr>
      </w:pPr>
      <w:r w:rsidRPr="00952807">
        <w:rPr>
          <w:bCs/>
          <w:lang w:val="en-GB"/>
        </w:rPr>
        <w:t xml:space="preserve">Berdasarkan hasil pengujian aktivitas antiinflamasi, pemberian EEBH menunjukkan kemampuan dalam menurunkan ukuran peradangan pada kaki tikus yang diinduksi karagenan. </w:t>
      </w:r>
      <w:r>
        <w:rPr>
          <w:bCs/>
          <w:lang w:val="en-GB"/>
        </w:rPr>
        <w:t xml:space="preserve"> </w:t>
      </w:r>
      <w:r w:rsidRPr="00952807">
        <w:rPr>
          <w:bCs/>
          <w:lang w:val="en-GB"/>
        </w:rPr>
        <w:t>Pemberian EEBH pada berbagai dosis juga menunjukkan adanya efek penghambatan inflamasi. Kelompok EEBH dosis 100 mg/kgBB mengalami penurunan ukuran radang hingga 24,50 ± 3,00, dosis 200 mg/kgBB mencapai 24,75 ± 1,25, sedangkan dosis 400 mg/kgBB memberikan penurunan terbesar dengan ukuran peradangan sebesar 21,25 ± 0,50 pada akhir pengamatan</w:t>
      </w:r>
      <w:r w:rsidR="00985A58">
        <w:rPr>
          <w:bCs/>
          <w:lang w:val="en-GB"/>
        </w:rPr>
        <w:t xml:space="preserve"> [18]</w:t>
      </w:r>
      <w:r w:rsidRPr="00952807">
        <w:rPr>
          <w:bCs/>
          <w:lang w:val="en-GB"/>
        </w:rPr>
        <w:t>. Hasil tersebut menunjukkan bahwa peningkatan dosis ekstrak cenderung menghasilkan efek antiinflamasi yang lebih besar. Efek tersebut diduga berkaitan dengan keberadaan senyawa metabolit sekunder dalam bawang hitam, terutama flavonoid dan senyawa fenolik, yang memiliki kemampuan dalam menghambat mediator inflamasi</w:t>
      </w:r>
      <w:r>
        <w:rPr>
          <w:bCs/>
          <w:lang w:val="en-GB"/>
        </w:rPr>
        <w:t xml:space="preserve"> [</w:t>
      </w:r>
      <w:r w:rsidR="00985A58">
        <w:rPr>
          <w:bCs/>
          <w:lang w:val="en-GB"/>
        </w:rPr>
        <w:t>19</w:t>
      </w:r>
      <w:r>
        <w:rPr>
          <w:bCs/>
          <w:lang w:val="en-GB"/>
        </w:rPr>
        <w:t>]</w:t>
      </w:r>
      <w:r w:rsidR="00126DF2">
        <w:rPr>
          <w:bCs/>
          <w:lang w:val="en-GB"/>
        </w:rPr>
        <w:t>.</w:t>
      </w:r>
    </w:p>
    <w:p w14:paraId="5787D8C8" w14:textId="77777777" w:rsidR="00952807" w:rsidRPr="00952807" w:rsidRDefault="00952807" w:rsidP="00952807">
      <w:pPr>
        <w:pStyle w:val="Els-body-text"/>
        <w:tabs>
          <w:tab w:val="left" w:pos="7654"/>
        </w:tabs>
        <w:spacing w:line="276" w:lineRule="auto"/>
        <w:rPr>
          <w:bCs/>
          <w:lang w:val="en-GB"/>
        </w:rPr>
      </w:pPr>
    </w:p>
    <w:p w14:paraId="11B47602" w14:textId="2C56B12F" w:rsidR="005477C0" w:rsidRPr="00952807" w:rsidRDefault="00952807" w:rsidP="00952807">
      <w:pPr>
        <w:pStyle w:val="Els-body-text"/>
        <w:tabs>
          <w:tab w:val="left" w:pos="7654"/>
        </w:tabs>
        <w:spacing w:line="276" w:lineRule="auto"/>
        <w:ind w:firstLine="0"/>
        <w:rPr>
          <w:bCs/>
          <w:lang w:val="en-GB"/>
        </w:rPr>
      </w:pPr>
      <w:r w:rsidRPr="00952807">
        <w:rPr>
          <w:bCs/>
          <w:lang w:val="en-GB"/>
        </w:rPr>
        <w:t>Induksi karagenan pada penelitian ini menyebabkan terjadinya proses inflamasi melalui pelepasan berbagai mediator inflamasi secara bertahap. Pada fase awal, karagenan memicu pelepasan histamin dan serotonin yang menyebabkan peningkatan permeabilitas pembuluh darah, sedangkan fase berikutnya melibatkan pelepasan bradikinin dan prostaglandin yang berperan dalam mempertahankan respons inflamasi. Penurunan edema pada kelompok yang diberikan EEBH menunjukkan bahwa ekstrak tersebut berpotensi menghambat beberapa jalur inflamasi yang berperan dalam pembentukan edema</w:t>
      </w:r>
      <w:r>
        <w:rPr>
          <w:bCs/>
          <w:lang w:val="en-GB"/>
        </w:rPr>
        <w:t xml:space="preserve"> [</w:t>
      </w:r>
      <w:r w:rsidR="00985A58">
        <w:rPr>
          <w:bCs/>
          <w:lang w:val="en-GB"/>
        </w:rPr>
        <w:t>20</w:t>
      </w:r>
      <w:r>
        <w:rPr>
          <w:bCs/>
          <w:lang w:val="en-GB"/>
        </w:rPr>
        <w:t>].</w:t>
      </w:r>
    </w:p>
    <w:p w14:paraId="242268AE" w14:textId="44B2EB91" w:rsidR="002F0D02" w:rsidRPr="00952807" w:rsidRDefault="00860318" w:rsidP="00187A6C">
      <w:pPr>
        <w:pStyle w:val="Els-body-text"/>
        <w:tabs>
          <w:tab w:val="left" w:pos="7654"/>
        </w:tabs>
        <w:spacing w:line="276" w:lineRule="auto"/>
        <w:ind w:firstLine="0"/>
        <w:rPr>
          <w:bCs/>
          <w:lang w:val="en-GB"/>
        </w:rPr>
      </w:pPr>
      <w:r w:rsidRPr="00952807">
        <w:rPr>
          <w:bCs/>
          <w:lang w:val="en-GB"/>
        </w:rPr>
        <w:tab/>
      </w:r>
    </w:p>
    <w:p w14:paraId="61BA6FEB" w14:textId="28E47B29" w:rsidR="005671A5" w:rsidRPr="005671A5" w:rsidRDefault="00032B17" w:rsidP="00544D7B">
      <w:pPr>
        <w:pStyle w:val="Els-body-text"/>
        <w:numPr>
          <w:ilvl w:val="0"/>
          <w:numId w:val="10"/>
        </w:numPr>
        <w:spacing w:line="276" w:lineRule="auto"/>
        <w:ind w:left="284" w:hanging="284"/>
        <w:rPr>
          <w:b/>
        </w:rPr>
      </w:pPr>
      <w:r>
        <w:rPr>
          <w:b/>
        </w:rPr>
        <w:t>KESIMPULAN</w:t>
      </w:r>
    </w:p>
    <w:p w14:paraId="65115636" w14:textId="22D8D39A" w:rsidR="005C7914" w:rsidRPr="00032B17" w:rsidRDefault="00952807" w:rsidP="005477C0">
      <w:pPr>
        <w:pStyle w:val="Els-body-text"/>
        <w:spacing w:line="276" w:lineRule="auto"/>
        <w:ind w:firstLine="0"/>
      </w:pPr>
      <w:r w:rsidRPr="00952807">
        <w:t xml:space="preserve">Fermentasi bawang putih tunggal sebanyak 2 kg selama 14 hari pada suhu 60°C menghasilkan </w:t>
      </w:r>
      <w:r>
        <w:t>bawang hitam</w:t>
      </w:r>
      <w:r w:rsidRPr="00952807">
        <w:t xml:space="preserve"> dengan karakteristik warna hitam, tekstur lunak, dan aroma khas fermentasi, dengan bobot akhir 1,5 kg. Ekstraksi 750 g simplisia menggunakan etanol 96% menghasilkan EEBH sebanyak 100 g dengan rendemen 13,33%. Hasil skrining fitokimia menunjukkan adanya senyawa alkaloid, flavonoid, dan tanin. EEBH memiliki </w:t>
      </w:r>
      <w:r w:rsidRPr="00952807">
        <w:lastRenderedPageBreak/>
        <w:t>aktivitas antiinflamasi terhadap edema kaki tikus yang diinduksi karagenan, dengan efek terbaik pada dosis 400 mg/kgBB yang menurunkan ukuran peradangan hingga 21,25 ± 0,50 pada jam ke-7.</w:t>
      </w:r>
    </w:p>
    <w:p w14:paraId="0784BAD3" w14:textId="77777777" w:rsidR="00187A6C" w:rsidRPr="00032B17" w:rsidRDefault="00187A6C" w:rsidP="00187A6C">
      <w:pPr>
        <w:pStyle w:val="Els-body-text"/>
        <w:spacing w:line="276" w:lineRule="auto"/>
        <w:ind w:firstLine="0"/>
      </w:pPr>
    </w:p>
    <w:p w14:paraId="5D1D8B45" w14:textId="0BAC7ADD" w:rsidR="00187A6C" w:rsidRPr="001623DA" w:rsidRDefault="00032B17" w:rsidP="00187A6C">
      <w:pPr>
        <w:pStyle w:val="Els-body-text"/>
        <w:spacing w:line="276" w:lineRule="auto"/>
        <w:ind w:firstLine="0"/>
        <w:rPr>
          <w:b/>
        </w:rPr>
      </w:pPr>
      <w:r>
        <w:rPr>
          <w:b/>
        </w:rPr>
        <w:t>UCAPAN TERIMA KASIH</w:t>
      </w:r>
    </w:p>
    <w:p w14:paraId="3921B4B0" w14:textId="028EE65D" w:rsidR="00187A6C" w:rsidRPr="001623DA" w:rsidRDefault="00952807" w:rsidP="00187A6C">
      <w:pPr>
        <w:pStyle w:val="Els-body-text"/>
        <w:spacing w:line="276" w:lineRule="auto"/>
        <w:ind w:firstLine="0"/>
      </w:pPr>
      <w:r>
        <w:t>Tim peneliti mengucapkan terima kasih kepada seluruh pihak yag terlibat dalam penelitian ini, khususnya Institut Kesehatan Medistra Lubuk Pakam yang telah memfasilitasi dalam pelaksanaan penelitian dengan menyediakan laboratorium yang memadai sehingga penelitian ini dapat terlaksana dengan baik.</w:t>
      </w:r>
    </w:p>
    <w:p w14:paraId="7F3287C4" w14:textId="77777777" w:rsidR="002A7369" w:rsidRPr="001623DA" w:rsidRDefault="002A7369" w:rsidP="009A1611">
      <w:pPr>
        <w:pStyle w:val="Els-body-text"/>
        <w:spacing w:line="276" w:lineRule="auto"/>
        <w:ind w:firstLine="0"/>
        <w:rPr>
          <w:b/>
        </w:rPr>
      </w:pPr>
    </w:p>
    <w:p w14:paraId="4B621813" w14:textId="7EB1F7DA" w:rsidR="00D40823" w:rsidRDefault="005477C0" w:rsidP="00D631BE">
      <w:pPr>
        <w:pStyle w:val="Els-body-text"/>
        <w:spacing w:line="276" w:lineRule="auto"/>
        <w:ind w:firstLine="0"/>
        <w:rPr>
          <w:b/>
        </w:rPr>
      </w:pPr>
      <w:r w:rsidRPr="001623DA">
        <w:rPr>
          <w:b/>
        </w:rPr>
        <w:t>REFERE</w:t>
      </w:r>
      <w:r w:rsidR="001623DA">
        <w:rPr>
          <w:b/>
        </w:rPr>
        <w:t>NSI</w:t>
      </w:r>
    </w:p>
    <w:p w14:paraId="39840511" w14:textId="0F3AD46C" w:rsidR="003704F2" w:rsidRDefault="00ED045E" w:rsidP="003704F2">
      <w:pPr>
        <w:pStyle w:val="Els-body-text"/>
        <w:numPr>
          <w:ilvl w:val="0"/>
          <w:numId w:val="11"/>
        </w:numPr>
        <w:spacing w:line="276" w:lineRule="auto"/>
        <w:ind w:left="426" w:hanging="426"/>
        <w:rPr>
          <w:bCs/>
        </w:rPr>
      </w:pPr>
      <w:r w:rsidRPr="00ED045E">
        <w:rPr>
          <w:bCs/>
        </w:rPr>
        <w:t>A. M. Soliman, A. Das, and S. A. Abdel-Mageed, “Acute inflammation in tissue healing,” International Journal of Molecular Sciences, vol. 24, no. 1, p. 641, 2023, doi: 10.3390/ijms24010641.</w:t>
      </w:r>
      <w:r w:rsidR="00F57148">
        <w:rPr>
          <w:bCs/>
        </w:rPr>
        <w:t xml:space="preserve"> </w:t>
      </w:r>
    </w:p>
    <w:p w14:paraId="5A0E6885" w14:textId="41A8B029" w:rsidR="003704F2" w:rsidRDefault="009C67D7" w:rsidP="003704F2">
      <w:pPr>
        <w:pStyle w:val="Els-body-text"/>
        <w:numPr>
          <w:ilvl w:val="0"/>
          <w:numId w:val="11"/>
        </w:numPr>
        <w:spacing w:line="276" w:lineRule="auto"/>
        <w:ind w:left="426" w:hanging="426"/>
        <w:rPr>
          <w:bCs/>
        </w:rPr>
      </w:pPr>
      <w:r w:rsidRPr="009C67D7">
        <w:rPr>
          <w:bCs/>
        </w:rPr>
        <w:t>M. J. Domper Arnal, G. Hijos-Mallada, and A. Lanas, “Gastrointestinal and cardiovascular adverse events associated with non-steroidal anti-inflammatory drugs,” Expert Opinion on Drug Safety, vol. 21, no. 3, pp. 373–384, 2022, doi: 10.1080/14740338.2021.1965988.</w:t>
      </w:r>
    </w:p>
    <w:p w14:paraId="271CCB19" w14:textId="37688369" w:rsidR="003704F2" w:rsidRDefault="00ED045E" w:rsidP="003704F2">
      <w:pPr>
        <w:pStyle w:val="Els-body-text"/>
        <w:numPr>
          <w:ilvl w:val="0"/>
          <w:numId w:val="11"/>
        </w:numPr>
        <w:spacing w:line="276" w:lineRule="auto"/>
        <w:ind w:left="426" w:hanging="426"/>
        <w:rPr>
          <w:bCs/>
        </w:rPr>
      </w:pPr>
      <w:r w:rsidRPr="00ED045E">
        <w:rPr>
          <w:bCs/>
        </w:rPr>
        <w:t>H. Luo</w:t>
      </w:r>
      <w:r>
        <w:rPr>
          <w:bCs/>
        </w:rPr>
        <w:t>,</w:t>
      </w:r>
      <w:r w:rsidRPr="00ED045E">
        <w:rPr>
          <w:bCs/>
        </w:rPr>
        <w:t xml:space="preserve"> “Global burden and cross-country inequalities in six major immune-mediated inflammatory diseases from 1990 to 2021: A systemic analysis of the Global Burden of Disease Study 2021,” Autoimmunity Reviews, vol. 23, no. 10, p. 103639, 2024, doi: 10.1016/j.autrev.2024.103639.</w:t>
      </w:r>
    </w:p>
    <w:p w14:paraId="3BC42966" w14:textId="5AEB0081" w:rsidR="003704F2" w:rsidRDefault="00ED045E" w:rsidP="003704F2">
      <w:pPr>
        <w:pStyle w:val="Els-body-text"/>
        <w:numPr>
          <w:ilvl w:val="0"/>
          <w:numId w:val="11"/>
        </w:numPr>
        <w:spacing w:line="276" w:lineRule="auto"/>
        <w:ind w:left="426" w:hanging="426"/>
        <w:rPr>
          <w:bCs/>
        </w:rPr>
      </w:pPr>
      <w:r w:rsidRPr="00ED045E">
        <w:rPr>
          <w:bCs/>
        </w:rPr>
        <w:t>C. K. Tudu, T. Dutta, M. Ghorai, P. Biswas, D. Samanta, P. Oleksak, N. K. Jha, M. Kumar, R. Proćków, J. M. Pérez de la Lastra, and A. Dey, “Traditional uses, phytochemistry, pharmacology and toxicology of garlic (Allium sativum), a storehouse of diverse phytochemicals: A review of research from the last decade focusing on health and nutritional implications,” Frontiers in Nutrition, vol. 9, p. 929554, 2022, doi: 10.3389/fnut.2022.929554.</w:t>
      </w:r>
    </w:p>
    <w:p w14:paraId="56ECCF82" w14:textId="496CAFA9" w:rsidR="003704F2" w:rsidRDefault="00ED045E" w:rsidP="003704F2">
      <w:pPr>
        <w:pStyle w:val="Els-body-text"/>
        <w:numPr>
          <w:ilvl w:val="0"/>
          <w:numId w:val="11"/>
        </w:numPr>
        <w:spacing w:line="276" w:lineRule="auto"/>
        <w:ind w:left="426" w:hanging="426"/>
        <w:rPr>
          <w:bCs/>
        </w:rPr>
      </w:pPr>
      <w:r w:rsidRPr="00ED045E">
        <w:rPr>
          <w:bCs/>
        </w:rPr>
        <w:t>L. Melguizo-Rodríguez, E. García-Recio, C. Ruiz, E. De Luna-Bertos, R. Illescas-Montes, and V. J. Costela-Ruiz, “Biological properties and therapeutic applications of garlic and its components,” Food &amp; Function, vol. 13, pp. 2415–2426, 2022, doi: 10.1039/D1FO03180E.</w:t>
      </w:r>
    </w:p>
    <w:p w14:paraId="44610EEC" w14:textId="300DF618" w:rsidR="003704F2" w:rsidRDefault="00126DF2" w:rsidP="003704F2">
      <w:pPr>
        <w:pStyle w:val="Els-body-text"/>
        <w:numPr>
          <w:ilvl w:val="0"/>
          <w:numId w:val="11"/>
        </w:numPr>
        <w:spacing w:line="276" w:lineRule="auto"/>
        <w:ind w:left="426" w:hanging="426"/>
        <w:rPr>
          <w:bCs/>
        </w:rPr>
      </w:pPr>
      <w:r w:rsidRPr="00126DF2">
        <w:rPr>
          <w:bCs/>
        </w:rPr>
        <w:t>F. Khan, S. Afzal, M. H. Akhtar, M. Laiq, S. Zahra, H. Majeed, B. Saeed, M. S. Qureshi, and H. M. U. Abid, “Evaluation of anti-inflammatory activity of methanolic extract of Ficus benjamina L using carrageenan-induced paw edema model in albino rats,” Journal of Population Therapeutics and Clinical Pharmacology, vol. 31, no. 4, 2024.</w:t>
      </w:r>
    </w:p>
    <w:p w14:paraId="1D58250C" w14:textId="2EBDED28" w:rsidR="003704F2" w:rsidRPr="00126DF2" w:rsidRDefault="00126DF2" w:rsidP="00126DF2">
      <w:pPr>
        <w:pStyle w:val="Els-body-text"/>
        <w:numPr>
          <w:ilvl w:val="0"/>
          <w:numId w:val="11"/>
        </w:numPr>
        <w:spacing w:line="276" w:lineRule="auto"/>
        <w:ind w:left="426" w:hanging="426"/>
        <w:rPr>
          <w:bCs/>
        </w:rPr>
      </w:pPr>
      <w:r w:rsidRPr="00126DF2">
        <w:rPr>
          <w:bCs/>
        </w:rPr>
        <w:t>L. A. Pratidina, S. G. Hwang, I. S. Nam, and N. Wijayanti, “Anti-inflammatory action of Indonesian Black Garlic (IBG) ethanol extracts in LPS-stimulated RAW 264.7 macrophage cells,” Indonesian Journal of Pharmacy, vol. 32, no. 2, pp. 201–208, 2021, doi: 10.22146/ijp.1658.</w:t>
      </w:r>
    </w:p>
    <w:p w14:paraId="7B4C7646" w14:textId="5144992C" w:rsidR="003704F2" w:rsidRDefault="00126DF2" w:rsidP="003704F2">
      <w:pPr>
        <w:pStyle w:val="Els-body-text"/>
        <w:numPr>
          <w:ilvl w:val="0"/>
          <w:numId w:val="11"/>
        </w:numPr>
        <w:spacing w:line="276" w:lineRule="auto"/>
        <w:ind w:left="426" w:hanging="426"/>
        <w:rPr>
          <w:bCs/>
        </w:rPr>
      </w:pPr>
      <w:r w:rsidRPr="00126DF2">
        <w:rPr>
          <w:bCs/>
        </w:rPr>
        <w:t>M. L. Libero, L. Recinella, E. Gorica, V. Citi, A. Chiavaroli, A. Fraschetti, et al., “Anti-inflammatory and anti-hyperalgesic effects induced by an aqueous aged black garlic extract in rodent models of ulcerative colitis and colitis-associated visceral pain,” Phytotherapy Research, 2024, doi: 10.1002/ptr.8270.</w:t>
      </w:r>
    </w:p>
    <w:p w14:paraId="5D110D3E" w14:textId="1D8C5741" w:rsidR="00F57148" w:rsidRDefault="000569EE" w:rsidP="003704F2">
      <w:pPr>
        <w:pStyle w:val="Els-body-text"/>
        <w:numPr>
          <w:ilvl w:val="0"/>
          <w:numId w:val="11"/>
        </w:numPr>
        <w:spacing w:line="276" w:lineRule="auto"/>
        <w:ind w:left="426" w:hanging="426"/>
        <w:rPr>
          <w:bCs/>
        </w:rPr>
      </w:pPr>
      <w:r w:rsidRPr="000569EE">
        <w:rPr>
          <w:bCs/>
        </w:rPr>
        <w:t>N. Pudiarifanti and J. Farizal, “Skrining Fitokimia dan Aktivitas Antibakteri Ekstrak Bawang Putih Tunggal terhadap Staphylococcus aureus,” Jurnal Farmasi Higea, vol. 14, no. 1, p. 66, 2022, doi: 10.52689/higea.v14i1.450.</w:t>
      </w:r>
    </w:p>
    <w:p w14:paraId="060216C7" w14:textId="03C64D55" w:rsidR="00F57148" w:rsidRDefault="000569EE" w:rsidP="003704F2">
      <w:pPr>
        <w:pStyle w:val="Els-body-text"/>
        <w:numPr>
          <w:ilvl w:val="0"/>
          <w:numId w:val="11"/>
        </w:numPr>
        <w:spacing w:line="276" w:lineRule="auto"/>
        <w:ind w:left="426" w:hanging="426"/>
        <w:rPr>
          <w:bCs/>
        </w:rPr>
      </w:pPr>
      <w:r w:rsidRPr="000569EE">
        <w:rPr>
          <w:bCs/>
        </w:rPr>
        <w:t>A. Affuwu, D. R. Wulandari, and A. A. R. Putri, “Ethanolic Extract of Black Garlic: An Evaluation on Physical Characteristics and Antioxidant Activity as Herb Products Feedstock,” Biomass, Biorefinery, and Bioeconomy, vol. 2, no. 1, pp. 135–138, 2024.</w:t>
      </w:r>
    </w:p>
    <w:p w14:paraId="4691CDBC" w14:textId="750A8974" w:rsidR="00985A58" w:rsidRDefault="00CA465C" w:rsidP="003704F2">
      <w:pPr>
        <w:pStyle w:val="Els-body-text"/>
        <w:numPr>
          <w:ilvl w:val="0"/>
          <w:numId w:val="11"/>
        </w:numPr>
        <w:spacing w:line="276" w:lineRule="auto"/>
        <w:ind w:left="426" w:hanging="426"/>
        <w:rPr>
          <w:bCs/>
        </w:rPr>
      </w:pPr>
      <w:r w:rsidRPr="00CA465C">
        <w:rPr>
          <w:bCs/>
        </w:rPr>
        <w:t>Chang WC, Lin WC, Wu SC. Optimization of the black garlic processing method and development of black garlic jam using high-pressure processing. Foods. 2023;12(8):1584. doi: 10.3390/foods12081584.</w:t>
      </w:r>
    </w:p>
    <w:p w14:paraId="7B720C30" w14:textId="78B15834" w:rsidR="00F57148" w:rsidRDefault="000569EE" w:rsidP="003704F2">
      <w:pPr>
        <w:pStyle w:val="Els-body-text"/>
        <w:numPr>
          <w:ilvl w:val="0"/>
          <w:numId w:val="11"/>
        </w:numPr>
        <w:spacing w:line="276" w:lineRule="auto"/>
        <w:ind w:left="426" w:hanging="426"/>
        <w:rPr>
          <w:bCs/>
        </w:rPr>
      </w:pPr>
      <w:r w:rsidRPr="000569EE">
        <w:rPr>
          <w:bCs/>
        </w:rPr>
        <w:t>X. Yuan, Z. Wang, L. Liu, D. Mu, J. Wu, X. Li, and X. Wu, “Changes of Physicochemical Properties in Black Garlic during Fermentation,” Fermentation, vol. 8, no. 11, p. 653, 2022, doi: 10.3390/fermentation8110653.</w:t>
      </w:r>
    </w:p>
    <w:p w14:paraId="1BAB625E" w14:textId="1D016FD6" w:rsidR="00F57148" w:rsidRDefault="000569EE" w:rsidP="003704F2">
      <w:pPr>
        <w:pStyle w:val="Els-body-text"/>
        <w:numPr>
          <w:ilvl w:val="0"/>
          <w:numId w:val="11"/>
        </w:numPr>
        <w:spacing w:line="276" w:lineRule="auto"/>
        <w:ind w:left="426" w:hanging="426"/>
        <w:rPr>
          <w:bCs/>
        </w:rPr>
      </w:pPr>
      <w:r w:rsidRPr="000569EE">
        <w:rPr>
          <w:bCs/>
        </w:rPr>
        <w:t>A. H. Krisnawan, R. Budiono, A. Natarika, A. Mirani, and N. Andarini, “The Effects of Processing Time on the Total Phenolic, Flavonoid Content, and Antioxidant Activity of Multi Bulb and Single Bulb Black Garlic,” Jurnal Teknologi dan Industri Pangan, vol. 33, no. 1, pp. 69–76, 2022, doi: 10.6066/jtip.2022.33.1.69.</w:t>
      </w:r>
    </w:p>
    <w:p w14:paraId="20AF2284" w14:textId="699A0A2C" w:rsidR="00985A58" w:rsidRDefault="00CA465C" w:rsidP="003704F2">
      <w:pPr>
        <w:pStyle w:val="Els-body-text"/>
        <w:numPr>
          <w:ilvl w:val="0"/>
          <w:numId w:val="11"/>
        </w:numPr>
        <w:spacing w:line="276" w:lineRule="auto"/>
        <w:ind w:left="426" w:hanging="426"/>
        <w:rPr>
          <w:bCs/>
        </w:rPr>
      </w:pPr>
      <w:r w:rsidRPr="00CA465C">
        <w:rPr>
          <w:bCs/>
        </w:rPr>
        <w:lastRenderedPageBreak/>
        <w:t>Wati S, Irwanto R, Cholilulah AB. Antibacterial effectiveness test of kecombrang leaves (Etlingera elatior) ethanol extract on the growth of Propionibacterium acnes. Jurnal Farmasimed (JFM). 2022;5(1):107–113. doi: 10.35451/jfm.v5i1.1367.</w:t>
      </w:r>
    </w:p>
    <w:p w14:paraId="0446906E" w14:textId="489F41E1" w:rsidR="00F57148" w:rsidRDefault="000569EE" w:rsidP="003704F2">
      <w:pPr>
        <w:pStyle w:val="Els-body-text"/>
        <w:numPr>
          <w:ilvl w:val="0"/>
          <w:numId w:val="11"/>
        </w:numPr>
        <w:spacing w:line="276" w:lineRule="auto"/>
        <w:ind w:left="426" w:hanging="426"/>
        <w:rPr>
          <w:bCs/>
        </w:rPr>
      </w:pPr>
      <w:r w:rsidRPr="000569EE">
        <w:rPr>
          <w:bCs/>
        </w:rPr>
        <w:t>D. M. Salsabila, E. Damayanthi, and Z. Nasution, “Nutraceutical Potential of Encapsulated Purple Okra (Abelmoschus esculentus L. Moench) Extract,” Media Gizi Indonesia (National Nutrition Journal), vol. 18, no. 3, pp. 201–211, 2023, doi: 10.20473/mgi.v18i3.201–211.</w:t>
      </w:r>
    </w:p>
    <w:p w14:paraId="4CC96DB9" w14:textId="14ED4157" w:rsidR="00985A58" w:rsidRDefault="00DC0512" w:rsidP="003704F2">
      <w:pPr>
        <w:pStyle w:val="Els-body-text"/>
        <w:numPr>
          <w:ilvl w:val="0"/>
          <w:numId w:val="11"/>
        </w:numPr>
        <w:spacing w:line="276" w:lineRule="auto"/>
        <w:ind w:left="426" w:hanging="426"/>
        <w:rPr>
          <w:bCs/>
        </w:rPr>
      </w:pPr>
      <w:r w:rsidRPr="00DC0512">
        <w:rPr>
          <w:bCs/>
        </w:rPr>
        <w:t>Sunanta P, Pankasemsuk T, Jantanasakulwong K, Chaiyaso T, Leksawasdi N, Phimolsiripol Y, et al. Does curing moisture content affect black garlic physiochemical quality? Horticulturae. 2021;7(12):535. doi: 10.3390/horticulturae7120535.</w:t>
      </w:r>
    </w:p>
    <w:p w14:paraId="0AC40D9A" w14:textId="04A78CA9" w:rsidR="00985A58" w:rsidRDefault="00DC0512" w:rsidP="00985A58">
      <w:pPr>
        <w:pStyle w:val="Els-body-text"/>
        <w:numPr>
          <w:ilvl w:val="0"/>
          <w:numId w:val="11"/>
        </w:numPr>
        <w:spacing w:line="276" w:lineRule="auto"/>
        <w:ind w:left="426" w:hanging="426"/>
        <w:rPr>
          <w:bCs/>
        </w:rPr>
      </w:pPr>
      <w:r w:rsidRPr="00DC0512">
        <w:rPr>
          <w:bCs/>
        </w:rPr>
        <w:t>E. N. Alfiraza, O. Listina, and T. S. Gautama, “Effectiveness of combination of bitter gourd (Momordica charantia L.) and garlic (Allium sativum L.) extract on male white mice (Mus muscullus) as aphrodisiac,” Jurnal Farmasimed (JFM), vol. 5, no. 1, pp. 31–38, 2022, doi: 10.35451/jfm.v5i1.1242.</w:t>
      </w:r>
    </w:p>
    <w:p w14:paraId="6A92D29D" w14:textId="226F3D10" w:rsidR="00985A58" w:rsidRPr="00985A58" w:rsidRDefault="00DC0512" w:rsidP="00985A58">
      <w:pPr>
        <w:pStyle w:val="Els-body-text"/>
        <w:numPr>
          <w:ilvl w:val="0"/>
          <w:numId w:val="11"/>
        </w:numPr>
        <w:spacing w:line="276" w:lineRule="auto"/>
        <w:ind w:left="426" w:hanging="426"/>
        <w:rPr>
          <w:bCs/>
        </w:rPr>
      </w:pPr>
      <w:r w:rsidRPr="00DC0512">
        <w:rPr>
          <w:bCs/>
        </w:rPr>
        <w:t>Mahfur, K. Mahbub, D. Achada, and I. V. Dika, “Antiinflamation activity assay of ethanol extract of Rhabdastrella sp sponge using denaturation of chicken egg albumin protein method,” Jurnal Farmasimed (JFM), vol. 8, no. 1, pp. 339–345, 2025, doi: 10.35451/3jvv5b49.</w:t>
      </w:r>
    </w:p>
    <w:p w14:paraId="3DDA2ED8" w14:textId="159FEA28" w:rsidR="00985A58" w:rsidRPr="00985A58" w:rsidRDefault="007838D0" w:rsidP="00985A58">
      <w:pPr>
        <w:pStyle w:val="Els-body-text"/>
        <w:numPr>
          <w:ilvl w:val="0"/>
          <w:numId w:val="11"/>
        </w:numPr>
        <w:spacing w:line="276" w:lineRule="auto"/>
        <w:ind w:left="426" w:hanging="426"/>
        <w:rPr>
          <w:bCs/>
        </w:rPr>
      </w:pPr>
      <w:r w:rsidRPr="007838D0">
        <w:rPr>
          <w:bCs/>
        </w:rPr>
        <w:t>A. El-Sayed, M. A. Abdel-Daim, and A. A. El-Sherbiny, “Black garlic: A comprehensive review of its bioactive compounds, biological activities, and potential health benefits,” International Journal of Molecular Sciences, vol. 25, no. 3, p. 1801, 2024, doi: 10.3390/ijms25031801.</w:t>
      </w:r>
    </w:p>
    <w:p w14:paraId="553BF74D" w14:textId="690F82BC" w:rsidR="007838D0" w:rsidRPr="003704F2" w:rsidRDefault="007838D0" w:rsidP="003704F2">
      <w:pPr>
        <w:pStyle w:val="Els-body-text"/>
        <w:numPr>
          <w:ilvl w:val="0"/>
          <w:numId w:val="11"/>
        </w:numPr>
        <w:spacing w:line="276" w:lineRule="auto"/>
        <w:ind w:left="426" w:hanging="426"/>
        <w:rPr>
          <w:bCs/>
        </w:rPr>
      </w:pPr>
      <w:r w:rsidRPr="007838D0">
        <w:rPr>
          <w:bCs/>
        </w:rPr>
        <w:t>Y. Wang, Z. Shen, C. Pei, S. Zhao, N. Jia, D. Huang, X. Wang, Y. Wu, S. Shi, Y. He, and Z. Wang, “Eleutheroside B ameliorated high altitude pulmonary edema by attenuating ferroptosis and necroptosis through Nrf2-antioxidant response signaling,” Biomedicine &amp; Pharmacotherapy, vol. 156, p. 113982, 2022, doi: 10.1016/j.biopha.2022.113982.</w:t>
      </w:r>
    </w:p>
    <w:p w14:paraId="6A977595" w14:textId="4F5A5A96" w:rsidR="00D631BE" w:rsidRPr="003704F2" w:rsidRDefault="00D631BE" w:rsidP="00D631BE">
      <w:pPr>
        <w:pStyle w:val="Els-body-text"/>
        <w:spacing w:line="276" w:lineRule="auto"/>
        <w:ind w:firstLine="0"/>
      </w:pPr>
    </w:p>
    <w:sectPr w:rsidR="00D631BE" w:rsidRPr="003704F2" w:rsidSect="00685EF0">
      <w:headerReference w:type="even" r:id="rId9"/>
      <w:headerReference w:type="default" r:id="rId10"/>
      <w:footerReference w:type="even" r:id="rId11"/>
      <w:footerReference w:type="default" r:id="rId12"/>
      <w:headerReference w:type="first" r:id="rId13"/>
      <w:footerReference w:type="first" r:id="rId14"/>
      <w:footnotePr>
        <w:numFmt w:val="chicago"/>
      </w:footnotePr>
      <w:type w:val="nextColumn"/>
      <w:pgSz w:w="11907" w:h="16839" w:code="9"/>
      <w:pgMar w:top="1440" w:right="1440" w:bottom="1440" w:left="1440" w:header="907" w:footer="1253" w:gutter="0"/>
      <w:pgNumType w:start="812"/>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4DA77" w14:textId="77777777" w:rsidR="00926B26" w:rsidRDefault="00926B26">
      <w:r>
        <w:separator/>
      </w:r>
    </w:p>
    <w:p w14:paraId="797E0362" w14:textId="77777777" w:rsidR="00926B26" w:rsidRDefault="00926B26"/>
  </w:endnote>
  <w:endnote w:type="continuationSeparator" w:id="0">
    <w:p w14:paraId="393EDFE0" w14:textId="77777777" w:rsidR="00926B26" w:rsidRDefault="00926B26">
      <w:r>
        <w:continuationSeparator/>
      </w:r>
    </w:p>
    <w:p w14:paraId="3C1F77A8" w14:textId="77777777" w:rsidR="00926B26" w:rsidRDefault="00926B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A3369DB-12BF-4F34-86C0-B67B5EF76322}"/>
    <w:embedBold r:id="rId2" w:fontKey="{8C9B658E-C7AC-4C70-B754-6CC111692AAC}"/>
    <w:embedItalic r:id="rId3" w:fontKey="{C45E8DE4-ABF2-46DD-9429-E5018154155B}"/>
    <w:embedBoldItalic r:id="rId4" w:fontKey="{CCA842FA-265F-41CD-A824-452640C8C3FE}"/>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IPPN M+ Gullive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406616962"/>
      <w:docPartObj>
        <w:docPartGallery w:val="Page Numbers (Bottom of Page)"/>
        <w:docPartUnique/>
      </w:docPartObj>
    </w:sdtPr>
    <w:sdtEndPr>
      <w:rPr>
        <w:noProof/>
      </w:rPr>
    </w:sdtEndPr>
    <w:sdtContent>
      <w:p w14:paraId="00538F77" w14:textId="1D954A64" w:rsidR="00685EF0" w:rsidRDefault="00685EF0" w:rsidP="00685EF0">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73476716"/>
      <w:docPartObj>
        <w:docPartGallery w:val="Page Numbers (Bottom of Page)"/>
        <w:docPartUnique/>
      </w:docPartObj>
    </w:sdtPr>
    <w:sdtEndPr>
      <w:rPr>
        <w:noProof/>
      </w:rPr>
    </w:sdtEndPr>
    <w:sdtContent>
      <w:p w14:paraId="1E6759E8" w14:textId="381A656D" w:rsidR="00685EF0" w:rsidRDefault="00685EF0" w:rsidP="00685EF0">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22675544"/>
      <w:docPartObj>
        <w:docPartGallery w:val="Page Numbers (Bottom of Page)"/>
        <w:docPartUnique/>
      </w:docPartObj>
    </w:sdtPr>
    <w:sdtEndPr>
      <w:rPr>
        <w:noProof/>
      </w:rPr>
    </w:sdtEndPr>
    <w:sdtContent>
      <w:p w14:paraId="4393E32F" w14:textId="263838C4" w:rsidR="006B5547" w:rsidRPr="00685EF0" w:rsidRDefault="00685EF0" w:rsidP="00685EF0">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ADC8" w14:textId="77777777" w:rsidR="00926B26" w:rsidRDefault="00926B26" w:rsidP="00E90510">
      <w:pPr>
        <w:pStyle w:val="Footer"/>
        <w:rPr>
          <w:lang w:val="en-GB"/>
        </w:rPr>
      </w:pPr>
    </w:p>
    <w:p w14:paraId="1BF7B131" w14:textId="77777777" w:rsidR="00926B26" w:rsidRDefault="00926B26"/>
  </w:footnote>
  <w:footnote w:type="continuationSeparator" w:id="0">
    <w:p w14:paraId="508F6647" w14:textId="77777777" w:rsidR="00926B26" w:rsidRDefault="00926B26">
      <w:r>
        <w:continuationSeparator/>
      </w:r>
    </w:p>
    <w:p w14:paraId="28539C7E" w14:textId="77777777" w:rsidR="00926B26" w:rsidRDefault="00926B26"/>
  </w:footnote>
  <w:footnote w:id="1">
    <w:p w14:paraId="13EA2121" w14:textId="30563AE0" w:rsidR="00182AB3" w:rsidRPr="0085623F" w:rsidRDefault="00182AB3" w:rsidP="00685EF0">
      <w:pPr>
        <w:pStyle w:val="Els-body-text"/>
        <w:spacing w:line="240" w:lineRule="auto"/>
        <w:ind w:right="-28" w:firstLine="0"/>
        <w:rPr>
          <w:sz w:val="16"/>
          <w:szCs w:val="16"/>
        </w:rPr>
      </w:pPr>
      <w:r>
        <w:rPr>
          <w:rStyle w:val="FootnoteReference"/>
        </w:rPr>
        <w:footnoteRef/>
      </w:r>
      <w:r w:rsidRPr="0085623F">
        <w:rPr>
          <w:sz w:val="16"/>
          <w:szCs w:val="16"/>
        </w:rPr>
        <w:t xml:space="preserve">Corresponding author: </w:t>
      </w:r>
      <w:r w:rsidR="000B5098" w:rsidRPr="000B5098">
        <w:rPr>
          <w:sz w:val="16"/>
          <w:szCs w:val="16"/>
        </w:rPr>
        <w:t>Hasni Yaturramadhan Harahap</w:t>
      </w:r>
      <w:r w:rsidRPr="0085623F">
        <w:rPr>
          <w:sz w:val="16"/>
          <w:szCs w:val="16"/>
        </w:rPr>
        <w:t>, Institu</w:t>
      </w:r>
      <w:r>
        <w:rPr>
          <w:sz w:val="16"/>
          <w:szCs w:val="16"/>
        </w:rPr>
        <w:t>t Kesehatan Medistra Lubuk Pakam</w:t>
      </w:r>
      <w:r w:rsidRPr="0085623F">
        <w:rPr>
          <w:sz w:val="16"/>
          <w:szCs w:val="16"/>
        </w:rPr>
        <w:t xml:space="preserve">, </w:t>
      </w:r>
      <w:r>
        <w:rPr>
          <w:sz w:val="16"/>
          <w:szCs w:val="16"/>
        </w:rPr>
        <w:t>Deli Serdang, Indonesia</w:t>
      </w:r>
    </w:p>
    <w:p w14:paraId="6A3D7B4A" w14:textId="0E7DE504" w:rsidR="00F6096A" w:rsidRPr="002A2537" w:rsidRDefault="00182AB3" w:rsidP="00685EF0">
      <w:pPr>
        <w:pStyle w:val="Els-body-text"/>
        <w:tabs>
          <w:tab w:val="left" w:pos="567"/>
        </w:tabs>
        <w:spacing w:line="240" w:lineRule="auto"/>
        <w:ind w:right="-28" w:firstLine="0"/>
        <w:rPr>
          <w:sz w:val="16"/>
          <w:szCs w:val="16"/>
        </w:rPr>
      </w:pPr>
      <w:r w:rsidRPr="0085623F">
        <w:rPr>
          <w:sz w:val="16"/>
          <w:szCs w:val="16"/>
        </w:rPr>
        <w:t>E-mail</w:t>
      </w:r>
      <w:r w:rsidR="000B5098">
        <w:rPr>
          <w:sz w:val="16"/>
          <w:szCs w:val="16"/>
        </w:rPr>
        <w:tab/>
      </w:r>
      <w:r w:rsidR="000B5098">
        <w:rPr>
          <w:sz w:val="16"/>
          <w:szCs w:val="16"/>
        </w:rPr>
        <w:tab/>
      </w:r>
      <w:r w:rsidRPr="0085623F">
        <w:rPr>
          <w:sz w:val="16"/>
          <w:szCs w:val="16"/>
        </w:rPr>
        <w:t>:</w:t>
      </w:r>
      <w:r>
        <w:rPr>
          <w:sz w:val="16"/>
          <w:szCs w:val="16"/>
        </w:rPr>
        <w:t xml:space="preserve"> </w:t>
      </w:r>
      <w:r w:rsidR="000B5098">
        <w:rPr>
          <w:sz w:val="16"/>
          <w:szCs w:val="16"/>
        </w:rPr>
        <w:t>hasniharahap88@gmail.com</w:t>
      </w:r>
    </w:p>
    <w:p w14:paraId="53AFB4DA" w14:textId="77777777" w:rsidR="00F6096A" w:rsidRPr="002A2537" w:rsidRDefault="00F6096A" w:rsidP="00685EF0">
      <w:pPr>
        <w:pStyle w:val="FootnoteText"/>
        <w:rPr>
          <w:rFonts w:ascii="Times New Roman" w:hAnsi="Times New Roman"/>
          <w:sz w:val="16"/>
          <w:szCs w:val="16"/>
        </w:rPr>
      </w:pPr>
      <w:r w:rsidRPr="002A2537">
        <w:rPr>
          <w:rFonts w:ascii="Times New Roman" w:hAnsi="Times New Roman"/>
          <w:sz w:val="16"/>
          <w:szCs w:val="16"/>
        </w:rPr>
        <w:t>Doi</w:t>
      </w:r>
      <w:r w:rsidRPr="002A2537">
        <w:rPr>
          <w:rFonts w:ascii="Times New Roman" w:hAnsi="Times New Roman"/>
          <w:sz w:val="16"/>
          <w:szCs w:val="16"/>
        </w:rPr>
        <w:tab/>
        <w:t>:</w:t>
      </w:r>
    </w:p>
    <w:p w14:paraId="16B9E969" w14:textId="117B58FE" w:rsidR="00F6096A" w:rsidRPr="002A2537" w:rsidRDefault="00F6096A" w:rsidP="00685EF0">
      <w:pPr>
        <w:pStyle w:val="FootnoteText"/>
        <w:rPr>
          <w:rFonts w:ascii="Times New Roman" w:hAnsi="Times New Roman"/>
          <w:sz w:val="16"/>
          <w:szCs w:val="16"/>
        </w:rPr>
      </w:pPr>
      <w:r w:rsidRPr="002A2537">
        <w:rPr>
          <w:rFonts w:ascii="Times New Roman" w:hAnsi="Times New Roman"/>
          <w:sz w:val="16"/>
          <w:szCs w:val="16"/>
        </w:rPr>
        <w:t>Received</w:t>
      </w:r>
      <w:r w:rsidRPr="002A2537">
        <w:rPr>
          <w:rFonts w:ascii="Times New Roman" w:hAnsi="Times New Roman"/>
          <w:sz w:val="16"/>
          <w:szCs w:val="16"/>
        </w:rPr>
        <w:tab/>
        <w:t>:</w:t>
      </w:r>
      <w:r w:rsidR="00685EF0" w:rsidRPr="00685EF0">
        <w:rPr>
          <w:rFonts w:ascii="Times New Roman" w:hAnsi="Times New Roman"/>
          <w:sz w:val="16"/>
          <w:szCs w:val="16"/>
        </w:rPr>
        <w:t xml:space="preserve"> </w:t>
      </w:r>
      <w:r w:rsidR="00685EF0">
        <w:rPr>
          <w:rFonts w:ascii="Times New Roman" w:hAnsi="Times New Roman"/>
          <w:sz w:val="16"/>
          <w:szCs w:val="16"/>
        </w:rPr>
        <w:t>September 30, 2026</w:t>
      </w:r>
      <w:r w:rsidR="00685EF0" w:rsidRPr="005D3268">
        <w:rPr>
          <w:rFonts w:ascii="Times New Roman" w:hAnsi="Times New Roman"/>
          <w:sz w:val="16"/>
          <w:szCs w:val="16"/>
        </w:rPr>
        <w:t xml:space="preserve">, Accepted: </w:t>
      </w:r>
      <w:r w:rsidR="00685EF0">
        <w:rPr>
          <w:rFonts w:ascii="Times New Roman" w:hAnsi="Times New Roman"/>
          <w:sz w:val="16"/>
          <w:szCs w:val="16"/>
        </w:rPr>
        <w:t>October 27</w:t>
      </w:r>
      <w:r w:rsidR="00685EF0" w:rsidRPr="005D3268">
        <w:rPr>
          <w:rFonts w:ascii="Times New Roman" w:hAnsi="Times New Roman"/>
          <w:sz w:val="16"/>
          <w:szCs w:val="16"/>
        </w:rPr>
        <w:t xml:space="preserve">, 2026, Published: </w:t>
      </w:r>
      <w:r w:rsidR="00685EF0">
        <w:rPr>
          <w:rFonts w:ascii="Times New Roman" w:hAnsi="Times New Roman"/>
          <w:sz w:val="16"/>
          <w:szCs w:val="16"/>
        </w:rPr>
        <w:t>October</w:t>
      </w:r>
      <w:r w:rsidR="00685EF0" w:rsidRPr="005D3268">
        <w:rPr>
          <w:rFonts w:ascii="Times New Roman" w:hAnsi="Times New Roman"/>
          <w:sz w:val="16"/>
          <w:szCs w:val="16"/>
        </w:rPr>
        <w:t xml:space="preserve"> 30, 2026</w:t>
      </w:r>
    </w:p>
    <w:p w14:paraId="0BCA71FC" w14:textId="709B9B12" w:rsidR="00F6096A" w:rsidRDefault="00F6096A" w:rsidP="00685EF0">
      <w:pPr>
        <w:pStyle w:val="Els-body-text"/>
        <w:tabs>
          <w:tab w:val="left" w:pos="2985"/>
        </w:tabs>
        <w:spacing w:line="240" w:lineRule="auto"/>
        <w:ind w:right="-28" w:firstLine="0"/>
        <w:rPr>
          <w:sz w:val="16"/>
          <w:szCs w:val="16"/>
        </w:rPr>
      </w:pPr>
      <w:r w:rsidRPr="002A2537">
        <w:rPr>
          <w:sz w:val="16"/>
          <w:szCs w:val="16"/>
        </w:rPr>
        <w:t>Copyright: © 202</w:t>
      </w:r>
      <w:r>
        <w:rPr>
          <w:sz w:val="16"/>
          <w:szCs w:val="16"/>
        </w:rPr>
        <w:t>6</w:t>
      </w:r>
      <w:r w:rsidRPr="002A2537">
        <w:rPr>
          <w:sz w:val="16"/>
          <w:szCs w:val="16"/>
        </w:rPr>
        <w:t xml:space="preserve"> </w:t>
      </w:r>
      <w:r w:rsidR="000B5098" w:rsidRPr="000B5098">
        <w:rPr>
          <w:sz w:val="16"/>
          <w:szCs w:val="16"/>
        </w:rPr>
        <w:t>Hasni Yaturramadhan Harahap, Alya Puteri Nazila, Rahmad Gurusinga, Andy Febriady</w:t>
      </w:r>
      <w:r w:rsidRPr="002A2537">
        <w:rPr>
          <w:sz w:val="16"/>
          <w:szCs w:val="16"/>
        </w:rPr>
        <w:t>. Creative Commons License This work is licensed under a Creative Commons Attribution 4.0 International License.</w:t>
      </w:r>
    </w:p>
    <w:p w14:paraId="0161D5A0" w14:textId="2AE8E465" w:rsidR="00182AB3" w:rsidRPr="00182AB3" w:rsidRDefault="00182AB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E570" w14:textId="76106B1F" w:rsidR="006B5547" w:rsidRPr="00685EF0" w:rsidRDefault="006B5547" w:rsidP="00685EF0">
    <w:pPr>
      <w:pStyle w:val="Header"/>
    </w:pPr>
    <w:r>
      <w:tab/>
    </w:r>
    <w:r w:rsidR="00685EF0" w:rsidRPr="00C17235">
      <w:rPr>
        <w:szCs w:val="16"/>
      </w:rPr>
      <w:t>Jurnal Farmasimed (JFM), Volume 9, Nomor 1, Tahun 202</w:t>
    </w:r>
    <w:r w:rsidR="00685EF0">
      <w:rPr>
        <w:szCs w:val="16"/>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2BF4" w14:textId="0F0389FF" w:rsidR="006B5547" w:rsidRPr="00685EF0" w:rsidRDefault="006B5547" w:rsidP="00685EF0">
    <w:pPr>
      <w:pStyle w:val="Header"/>
    </w:pPr>
    <w:r>
      <w:tab/>
    </w:r>
    <w:r w:rsidR="00685EF0" w:rsidRPr="00C17235">
      <w:rPr>
        <w:szCs w:val="16"/>
      </w:rPr>
      <w:t>Jurnal Farmasimed (JFM), Volume 9, Nomor 1, Tahun 202</w:t>
    </w:r>
    <w:r w:rsidR="00685EF0">
      <w:rPr>
        <w:szCs w:val="16"/>
      </w:rPr>
      <w:t>6</w:t>
    </w:r>
    <w:r w:rsidRPr="00680905">
      <w:rPr>
        <w:lang w:val="nl-N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3D5D" w14:textId="77777777" w:rsidR="00685EF0" w:rsidRPr="00DC5F9D" w:rsidRDefault="00685EF0" w:rsidP="00685EF0">
    <w:pPr>
      <w:pStyle w:val="Header"/>
      <w:contextualSpacing/>
      <w:rPr>
        <w:i w:val="0"/>
        <w:iCs/>
        <w:sz w:val="18"/>
      </w:rPr>
    </w:pPr>
    <w:r w:rsidRPr="00DC5F9D">
      <w:rPr>
        <w:i w:val="0"/>
        <w:iCs/>
        <w:szCs w:val="16"/>
      </w:rPr>
      <w:drawing>
        <wp:anchor distT="0" distB="0" distL="114300" distR="114300" simplePos="0" relativeHeight="251657216" behindDoc="1" locked="0" layoutInCell="1" allowOverlap="1" wp14:anchorId="504A5A62" wp14:editId="4F7A3BE4">
          <wp:simplePos x="0" y="0"/>
          <wp:positionH relativeFrom="column">
            <wp:posOffset>4036999</wp:posOffset>
          </wp:positionH>
          <wp:positionV relativeFrom="paragraph">
            <wp:posOffset>3948</wp:posOffset>
          </wp:positionV>
          <wp:extent cx="1723524" cy="397510"/>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3524" cy="397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5F9D">
      <w:rPr>
        <w:i w:val="0"/>
        <w:iCs/>
        <w:sz w:val="18"/>
      </w:rPr>
      <w:t>JURNAL FARMASIMED (JFM)</w:t>
    </w:r>
  </w:p>
  <w:p w14:paraId="6DCBCFDB" w14:textId="77777777" w:rsidR="00685EF0" w:rsidRPr="00DC5F9D" w:rsidRDefault="00685EF0" w:rsidP="00685EF0">
    <w:pPr>
      <w:pStyle w:val="Header"/>
      <w:tabs>
        <w:tab w:val="clear" w:pos="9356"/>
        <w:tab w:val="center" w:pos="4513"/>
      </w:tabs>
      <w:contextualSpacing/>
      <w:rPr>
        <w:i w:val="0"/>
        <w:iCs/>
        <w:sz w:val="33"/>
        <w:szCs w:val="33"/>
        <w:lang w:val="en-IN" w:eastAsia="en-IN"/>
      </w:rPr>
    </w:pPr>
    <w:r w:rsidRPr="00DC5F9D">
      <w:rPr>
        <w:i w:val="0"/>
        <w:iCs/>
        <w:sz w:val="18"/>
      </w:rPr>
      <w:t>E-ISSN: 2655-0814</w:t>
    </w:r>
    <w:r w:rsidRPr="00DC5F9D">
      <w:rPr>
        <w:i w:val="0"/>
        <w:iCs/>
        <w:sz w:val="18"/>
      </w:rPr>
      <w:tab/>
    </w:r>
  </w:p>
  <w:p w14:paraId="3EF1F1CE" w14:textId="77777777" w:rsidR="00685EF0" w:rsidRPr="00DC5F9D" w:rsidRDefault="00685EF0" w:rsidP="00685EF0">
    <w:pPr>
      <w:pStyle w:val="Header"/>
      <w:tabs>
        <w:tab w:val="left" w:pos="6804"/>
      </w:tabs>
      <w:contextualSpacing/>
      <w:rPr>
        <w:i w:val="0"/>
        <w:iCs/>
      </w:rPr>
    </w:pPr>
    <w:hyperlink r:id="rId2" w:history="1">
      <w:r w:rsidRPr="00DC5F9D">
        <w:rPr>
          <w:rStyle w:val="Hyperlink"/>
          <w:i w:val="0"/>
          <w:iCs/>
          <w:szCs w:val="16"/>
        </w:rPr>
        <w:t>https://ejournal.medistra.ac.id/index.php/JFM</w:t>
      </w:r>
    </w:hyperlink>
  </w:p>
  <w:p w14:paraId="6F43C020" w14:textId="77777777" w:rsidR="00F6096A" w:rsidRPr="00685EF0" w:rsidRDefault="00F6096A" w:rsidP="00685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F2063"/>
    <w:multiLevelType w:val="hybridMultilevel"/>
    <w:tmpl w:val="6D64FBD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4"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5"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4536"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6" w15:restartNumberingAfterBreak="0">
    <w:nsid w:val="625B00EA"/>
    <w:multiLevelType w:val="hybridMultilevel"/>
    <w:tmpl w:val="9E4C4F44"/>
    <w:lvl w:ilvl="0" w:tplc="00EE0786">
      <w:start w:val="1"/>
      <w:numFmt w:val="decimal"/>
      <w:lvlText w:val="[%1]"/>
      <w:lvlJc w:val="left"/>
      <w:pPr>
        <w:ind w:left="720" w:hanging="360"/>
      </w:pPr>
      <w:rPr>
        <w:rFonts w:hint="default"/>
        <w:spacing w:val="0"/>
        <w:w w:val="1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FF703E8"/>
    <w:multiLevelType w:val="multilevel"/>
    <w:tmpl w:val="AD702262"/>
    <w:lvl w:ilvl="0">
      <w:start w:val="1"/>
      <w:numFmt w:val="decimal"/>
      <w:lvlText w:val="%1."/>
      <w:lvlJc w:val="left"/>
      <w:pPr>
        <w:ind w:left="720" w:hanging="360"/>
      </w:pPr>
      <w:rPr>
        <w:rFonts w:hint="default"/>
        <w:i w:val="0"/>
        <w:i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835605028">
    <w:abstractNumId w:val="2"/>
  </w:num>
  <w:num w:numId="2" w16cid:durableId="61560352">
    <w:abstractNumId w:val="5"/>
  </w:num>
  <w:num w:numId="3" w16cid:durableId="1348672176">
    <w:abstractNumId w:val="1"/>
  </w:num>
  <w:num w:numId="4" w16cid:durableId="360086516">
    <w:abstractNumId w:val="3"/>
  </w:num>
  <w:num w:numId="5" w16cid:durableId="96022883">
    <w:abstractNumId w:val="4"/>
  </w:num>
  <w:num w:numId="6" w16cid:durableId="1678535555">
    <w:abstractNumId w:val="4"/>
  </w:num>
  <w:num w:numId="7" w16cid:durableId="1167593777">
    <w:abstractNumId w:val="4"/>
  </w:num>
  <w:num w:numId="8" w16cid:durableId="456727232">
    <w:abstractNumId w:val="4"/>
  </w:num>
  <w:num w:numId="9" w16cid:durableId="245115492">
    <w:abstractNumId w:val="7"/>
  </w:num>
  <w:num w:numId="10" w16cid:durableId="1163276145">
    <w:abstractNumId w:val="0"/>
  </w:num>
  <w:num w:numId="11" w16cid:durableId="1749889234">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intPostScriptOverText/>
  <w:embedTrueTypeFonts/>
  <w:embedSystemFonts/>
  <w:saveSubsetFonts/>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79C"/>
    <w:rsid w:val="00002379"/>
    <w:rsid w:val="0000378B"/>
    <w:rsid w:val="00014939"/>
    <w:rsid w:val="0001694F"/>
    <w:rsid w:val="00020A4D"/>
    <w:rsid w:val="00023069"/>
    <w:rsid w:val="000269B0"/>
    <w:rsid w:val="00030E6C"/>
    <w:rsid w:val="000321D9"/>
    <w:rsid w:val="00032238"/>
    <w:rsid w:val="00032B17"/>
    <w:rsid w:val="00034682"/>
    <w:rsid w:val="00035B59"/>
    <w:rsid w:val="00035BA0"/>
    <w:rsid w:val="00041AB8"/>
    <w:rsid w:val="000434DD"/>
    <w:rsid w:val="00050BCB"/>
    <w:rsid w:val="000510B4"/>
    <w:rsid w:val="000569EE"/>
    <w:rsid w:val="000632AD"/>
    <w:rsid w:val="000666E6"/>
    <w:rsid w:val="00067B07"/>
    <w:rsid w:val="00067F5F"/>
    <w:rsid w:val="00071084"/>
    <w:rsid w:val="00073033"/>
    <w:rsid w:val="000740D0"/>
    <w:rsid w:val="00074933"/>
    <w:rsid w:val="00074DC2"/>
    <w:rsid w:val="0009068B"/>
    <w:rsid w:val="000959A7"/>
    <w:rsid w:val="000A0C67"/>
    <w:rsid w:val="000A1C33"/>
    <w:rsid w:val="000A25B5"/>
    <w:rsid w:val="000A53A5"/>
    <w:rsid w:val="000B28B5"/>
    <w:rsid w:val="000B5098"/>
    <w:rsid w:val="000C3497"/>
    <w:rsid w:val="000C3875"/>
    <w:rsid w:val="000C3911"/>
    <w:rsid w:val="000C4919"/>
    <w:rsid w:val="000D1C5C"/>
    <w:rsid w:val="000D4338"/>
    <w:rsid w:val="000D4D48"/>
    <w:rsid w:val="000E04B6"/>
    <w:rsid w:val="000E102B"/>
    <w:rsid w:val="000E2E38"/>
    <w:rsid w:val="000E3E5F"/>
    <w:rsid w:val="000F15CA"/>
    <w:rsid w:val="000F3815"/>
    <w:rsid w:val="000F4036"/>
    <w:rsid w:val="000F4446"/>
    <w:rsid w:val="000F6DD6"/>
    <w:rsid w:val="001000F7"/>
    <w:rsid w:val="001031CD"/>
    <w:rsid w:val="001036BD"/>
    <w:rsid w:val="00104242"/>
    <w:rsid w:val="001111C5"/>
    <w:rsid w:val="00111831"/>
    <w:rsid w:val="001128CD"/>
    <w:rsid w:val="00113ACB"/>
    <w:rsid w:val="001150D9"/>
    <w:rsid w:val="00116DD6"/>
    <w:rsid w:val="0011749C"/>
    <w:rsid w:val="00117603"/>
    <w:rsid w:val="00121670"/>
    <w:rsid w:val="00122BE8"/>
    <w:rsid w:val="001230E2"/>
    <w:rsid w:val="00126DF2"/>
    <w:rsid w:val="00132FB1"/>
    <w:rsid w:val="00134262"/>
    <w:rsid w:val="001447E9"/>
    <w:rsid w:val="00153DD3"/>
    <w:rsid w:val="001555DF"/>
    <w:rsid w:val="00155FD7"/>
    <w:rsid w:val="001567AA"/>
    <w:rsid w:val="00160818"/>
    <w:rsid w:val="00161615"/>
    <w:rsid w:val="001623DA"/>
    <w:rsid w:val="0016369E"/>
    <w:rsid w:val="0016589A"/>
    <w:rsid w:val="00171FAA"/>
    <w:rsid w:val="00173D18"/>
    <w:rsid w:val="00174617"/>
    <w:rsid w:val="00177EA2"/>
    <w:rsid w:val="001813EC"/>
    <w:rsid w:val="00181873"/>
    <w:rsid w:val="00181A4E"/>
    <w:rsid w:val="00182AB3"/>
    <w:rsid w:val="00186C2F"/>
    <w:rsid w:val="00186DA3"/>
    <w:rsid w:val="00187A6C"/>
    <w:rsid w:val="00194A15"/>
    <w:rsid w:val="00197AF5"/>
    <w:rsid w:val="00197F58"/>
    <w:rsid w:val="001A165D"/>
    <w:rsid w:val="001A4900"/>
    <w:rsid w:val="001A5143"/>
    <w:rsid w:val="001A5AC2"/>
    <w:rsid w:val="001A637A"/>
    <w:rsid w:val="001A6EE8"/>
    <w:rsid w:val="001B1D59"/>
    <w:rsid w:val="001B2295"/>
    <w:rsid w:val="001B28D6"/>
    <w:rsid w:val="001B59D9"/>
    <w:rsid w:val="001B5DDB"/>
    <w:rsid w:val="001B6696"/>
    <w:rsid w:val="001C0757"/>
    <w:rsid w:val="001C5345"/>
    <w:rsid w:val="001C5518"/>
    <w:rsid w:val="001C5B96"/>
    <w:rsid w:val="001D192A"/>
    <w:rsid w:val="001D274F"/>
    <w:rsid w:val="001D2B8C"/>
    <w:rsid w:val="001D5AED"/>
    <w:rsid w:val="001D67EE"/>
    <w:rsid w:val="001D6FD0"/>
    <w:rsid w:val="001E076E"/>
    <w:rsid w:val="001F00E5"/>
    <w:rsid w:val="001F1CD4"/>
    <w:rsid w:val="002000A5"/>
    <w:rsid w:val="00201FFE"/>
    <w:rsid w:val="00210CB0"/>
    <w:rsid w:val="00211C62"/>
    <w:rsid w:val="00211E01"/>
    <w:rsid w:val="00212988"/>
    <w:rsid w:val="002210AD"/>
    <w:rsid w:val="00221826"/>
    <w:rsid w:val="0022243D"/>
    <w:rsid w:val="00225293"/>
    <w:rsid w:val="00226DB0"/>
    <w:rsid w:val="00233070"/>
    <w:rsid w:val="00235D17"/>
    <w:rsid w:val="002366BD"/>
    <w:rsid w:val="00242512"/>
    <w:rsid w:val="00242634"/>
    <w:rsid w:val="00242FEC"/>
    <w:rsid w:val="00244FFE"/>
    <w:rsid w:val="0024710C"/>
    <w:rsid w:val="0025249D"/>
    <w:rsid w:val="0025270D"/>
    <w:rsid w:val="00256CEF"/>
    <w:rsid w:val="00260DA4"/>
    <w:rsid w:val="00261A51"/>
    <w:rsid w:val="0026318E"/>
    <w:rsid w:val="00264870"/>
    <w:rsid w:val="002651BB"/>
    <w:rsid w:val="002715E7"/>
    <w:rsid w:val="002725BF"/>
    <w:rsid w:val="00273078"/>
    <w:rsid w:val="00273503"/>
    <w:rsid w:val="0027513F"/>
    <w:rsid w:val="00277052"/>
    <w:rsid w:val="00281362"/>
    <w:rsid w:val="002856FB"/>
    <w:rsid w:val="00285FAA"/>
    <w:rsid w:val="002901AD"/>
    <w:rsid w:val="00292084"/>
    <w:rsid w:val="00293957"/>
    <w:rsid w:val="00293AE3"/>
    <w:rsid w:val="00296BDD"/>
    <w:rsid w:val="002A3C62"/>
    <w:rsid w:val="002A6195"/>
    <w:rsid w:val="002A7213"/>
    <w:rsid w:val="002A7369"/>
    <w:rsid w:val="002A75D2"/>
    <w:rsid w:val="002B0067"/>
    <w:rsid w:val="002B152A"/>
    <w:rsid w:val="002B3244"/>
    <w:rsid w:val="002B46AD"/>
    <w:rsid w:val="002B6061"/>
    <w:rsid w:val="002B679C"/>
    <w:rsid w:val="002B67D2"/>
    <w:rsid w:val="002B7600"/>
    <w:rsid w:val="002C5FE4"/>
    <w:rsid w:val="002C6D75"/>
    <w:rsid w:val="002D2196"/>
    <w:rsid w:val="002D4CDB"/>
    <w:rsid w:val="002E0044"/>
    <w:rsid w:val="002E7DF3"/>
    <w:rsid w:val="002F09DA"/>
    <w:rsid w:val="002F0D02"/>
    <w:rsid w:val="002F5668"/>
    <w:rsid w:val="002F5987"/>
    <w:rsid w:val="00304028"/>
    <w:rsid w:val="00311EC4"/>
    <w:rsid w:val="003125CA"/>
    <w:rsid w:val="003126AC"/>
    <w:rsid w:val="003200E9"/>
    <w:rsid w:val="00326B48"/>
    <w:rsid w:val="0033564D"/>
    <w:rsid w:val="003434F3"/>
    <w:rsid w:val="003440D1"/>
    <w:rsid w:val="0034477C"/>
    <w:rsid w:val="00345043"/>
    <w:rsid w:val="00345990"/>
    <w:rsid w:val="00346325"/>
    <w:rsid w:val="0034711B"/>
    <w:rsid w:val="003533F8"/>
    <w:rsid w:val="003538FA"/>
    <w:rsid w:val="003547C4"/>
    <w:rsid w:val="003574AC"/>
    <w:rsid w:val="003579CB"/>
    <w:rsid w:val="00363993"/>
    <w:rsid w:val="003649EA"/>
    <w:rsid w:val="0036667C"/>
    <w:rsid w:val="0036784C"/>
    <w:rsid w:val="00370194"/>
    <w:rsid w:val="003704F2"/>
    <w:rsid w:val="00373F29"/>
    <w:rsid w:val="00375858"/>
    <w:rsid w:val="00381CB8"/>
    <w:rsid w:val="0038281C"/>
    <w:rsid w:val="00385450"/>
    <w:rsid w:val="00390351"/>
    <w:rsid w:val="00395823"/>
    <w:rsid w:val="003A080A"/>
    <w:rsid w:val="003A27B8"/>
    <w:rsid w:val="003A544B"/>
    <w:rsid w:val="003B0A06"/>
    <w:rsid w:val="003B55CF"/>
    <w:rsid w:val="003C12ED"/>
    <w:rsid w:val="003C21F2"/>
    <w:rsid w:val="003C258E"/>
    <w:rsid w:val="003C2FF7"/>
    <w:rsid w:val="003C44F4"/>
    <w:rsid w:val="003C49AC"/>
    <w:rsid w:val="003C58A3"/>
    <w:rsid w:val="003D4BA1"/>
    <w:rsid w:val="003D5D14"/>
    <w:rsid w:val="003D5DA8"/>
    <w:rsid w:val="003D69CE"/>
    <w:rsid w:val="003E1B8F"/>
    <w:rsid w:val="003E4CCC"/>
    <w:rsid w:val="003E6855"/>
    <w:rsid w:val="003F4337"/>
    <w:rsid w:val="003F7109"/>
    <w:rsid w:val="003F7DD7"/>
    <w:rsid w:val="00404049"/>
    <w:rsid w:val="0041269A"/>
    <w:rsid w:val="0041462A"/>
    <w:rsid w:val="00416BF8"/>
    <w:rsid w:val="004175FE"/>
    <w:rsid w:val="00420211"/>
    <w:rsid w:val="00422339"/>
    <w:rsid w:val="004230E5"/>
    <w:rsid w:val="0042498F"/>
    <w:rsid w:val="0042683D"/>
    <w:rsid w:val="00430B03"/>
    <w:rsid w:val="004328B2"/>
    <w:rsid w:val="0043404A"/>
    <w:rsid w:val="00437ED9"/>
    <w:rsid w:val="00441ED9"/>
    <w:rsid w:val="00442EED"/>
    <w:rsid w:val="00444EFA"/>
    <w:rsid w:val="00447151"/>
    <w:rsid w:val="00456B68"/>
    <w:rsid w:val="004606D3"/>
    <w:rsid w:val="00461ADB"/>
    <w:rsid w:val="00475D10"/>
    <w:rsid w:val="00477BDF"/>
    <w:rsid w:val="004843F1"/>
    <w:rsid w:val="0049184A"/>
    <w:rsid w:val="00493A8F"/>
    <w:rsid w:val="00496403"/>
    <w:rsid w:val="0049685C"/>
    <w:rsid w:val="004A3E3F"/>
    <w:rsid w:val="004A474A"/>
    <w:rsid w:val="004A599D"/>
    <w:rsid w:val="004B53D9"/>
    <w:rsid w:val="004B5C95"/>
    <w:rsid w:val="004C1644"/>
    <w:rsid w:val="004C1A2E"/>
    <w:rsid w:val="004D4544"/>
    <w:rsid w:val="004E064F"/>
    <w:rsid w:val="004E28D3"/>
    <w:rsid w:val="004E47DA"/>
    <w:rsid w:val="004E4FD9"/>
    <w:rsid w:val="004E71D5"/>
    <w:rsid w:val="004E7612"/>
    <w:rsid w:val="004F2F32"/>
    <w:rsid w:val="004F4928"/>
    <w:rsid w:val="004F658E"/>
    <w:rsid w:val="004F75EB"/>
    <w:rsid w:val="005027CD"/>
    <w:rsid w:val="00503062"/>
    <w:rsid w:val="005104C6"/>
    <w:rsid w:val="00513867"/>
    <w:rsid w:val="00516F8C"/>
    <w:rsid w:val="00524C83"/>
    <w:rsid w:val="00526F78"/>
    <w:rsid w:val="00531B1B"/>
    <w:rsid w:val="00535FC9"/>
    <w:rsid w:val="005360B7"/>
    <w:rsid w:val="005429CE"/>
    <w:rsid w:val="00543833"/>
    <w:rsid w:val="00544D7B"/>
    <w:rsid w:val="0054516B"/>
    <w:rsid w:val="00546785"/>
    <w:rsid w:val="005477C0"/>
    <w:rsid w:val="00552DBC"/>
    <w:rsid w:val="00553B48"/>
    <w:rsid w:val="00553F2A"/>
    <w:rsid w:val="0055720F"/>
    <w:rsid w:val="00561A64"/>
    <w:rsid w:val="005646DE"/>
    <w:rsid w:val="00564BF8"/>
    <w:rsid w:val="005671A5"/>
    <w:rsid w:val="00570552"/>
    <w:rsid w:val="00570FE9"/>
    <w:rsid w:val="0057235D"/>
    <w:rsid w:val="005765A3"/>
    <w:rsid w:val="00577DD9"/>
    <w:rsid w:val="00580764"/>
    <w:rsid w:val="0058223E"/>
    <w:rsid w:val="00585202"/>
    <w:rsid w:val="0058564A"/>
    <w:rsid w:val="005863AC"/>
    <w:rsid w:val="00587EAF"/>
    <w:rsid w:val="0059170C"/>
    <w:rsid w:val="00592DBB"/>
    <w:rsid w:val="00592F4D"/>
    <w:rsid w:val="005937F4"/>
    <w:rsid w:val="00593CE4"/>
    <w:rsid w:val="005A2B67"/>
    <w:rsid w:val="005A2E21"/>
    <w:rsid w:val="005A3EFA"/>
    <w:rsid w:val="005A54B3"/>
    <w:rsid w:val="005A5821"/>
    <w:rsid w:val="005B176E"/>
    <w:rsid w:val="005B34D4"/>
    <w:rsid w:val="005B44A6"/>
    <w:rsid w:val="005B639E"/>
    <w:rsid w:val="005B69BA"/>
    <w:rsid w:val="005B7F5F"/>
    <w:rsid w:val="005C25DA"/>
    <w:rsid w:val="005C6BB4"/>
    <w:rsid w:val="005C7914"/>
    <w:rsid w:val="005D4459"/>
    <w:rsid w:val="005D4F26"/>
    <w:rsid w:val="005D60FA"/>
    <w:rsid w:val="005E0428"/>
    <w:rsid w:val="005E228C"/>
    <w:rsid w:val="005E5391"/>
    <w:rsid w:val="005E7449"/>
    <w:rsid w:val="00601720"/>
    <w:rsid w:val="00604E92"/>
    <w:rsid w:val="0060504C"/>
    <w:rsid w:val="00606CE4"/>
    <w:rsid w:val="00606E54"/>
    <w:rsid w:val="00611585"/>
    <w:rsid w:val="006124D0"/>
    <w:rsid w:val="0061361B"/>
    <w:rsid w:val="00620DCE"/>
    <w:rsid w:val="00621A1E"/>
    <w:rsid w:val="0062258F"/>
    <w:rsid w:val="00624E0A"/>
    <w:rsid w:val="00625510"/>
    <w:rsid w:val="00627DA3"/>
    <w:rsid w:val="0063045B"/>
    <w:rsid w:val="006310DE"/>
    <w:rsid w:val="00631DD7"/>
    <w:rsid w:val="00632B25"/>
    <w:rsid w:val="00632F04"/>
    <w:rsid w:val="00634A0E"/>
    <w:rsid w:val="00634B07"/>
    <w:rsid w:val="006371DA"/>
    <w:rsid w:val="0063765A"/>
    <w:rsid w:val="00640E03"/>
    <w:rsid w:val="00642506"/>
    <w:rsid w:val="00642797"/>
    <w:rsid w:val="00645FBE"/>
    <w:rsid w:val="0065035D"/>
    <w:rsid w:val="00651A44"/>
    <w:rsid w:val="00652497"/>
    <w:rsid w:val="00654559"/>
    <w:rsid w:val="006549A6"/>
    <w:rsid w:val="00663F38"/>
    <w:rsid w:val="00664317"/>
    <w:rsid w:val="00665A22"/>
    <w:rsid w:val="00666F9C"/>
    <w:rsid w:val="00671AA4"/>
    <w:rsid w:val="006729C4"/>
    <w:rsid w:val="00675C2B"/>
    <w:rsid w:val="006771C8"/>
    <w:rsid w:val="00680905"/>
    <w:rsid w:val="00682E06"/>
    <w:rsid w:val="00684B23"/>
    <w:rsid w:val="00685EF0"/>
    <w:rsid w:val="0068645D"/>
    <w:rsid w:val="00691883"/>
    <w:rsid w:val="00691E48"/>
    <w:rsid w:val="00694EA9"/>
    <w:rsid w:val="00694FE5"/>
    <w:rsid w:val="00696E44"/>
    <w:rsid w:val="006A07A9"/>
    <w:rsid w:val="006A3495"/>
    <w:rsid w:val="006A3910"/>
    <w:rsid w:val="006A3A63"/>
    <w:rsid w:val="006A3B66"/>
    <w:rsid w:val="006A3BC9"/>
    <w:rsid w:val="006A4490"/>
    <w:rsid w:val="006A5781"/>
    <w:rsid w:val="006B0262"/>
    <w:rsid w:val="006B10F6"/>
    <w:rsid w:val="006B11AB"/>
    <w:rsid w:val="006B4052"/>
    <w:rsid w:val="006B4920"/>
    <w:rsid w:val="006B5547"/>
    <w:rsid w:val="006B6155"/>
    <w:rsid w:val="006B6DAD"/>
    <w:rsid w:val="006C0A11"/>
    <w:rsid w:val="006C4643"/>
    <w:rsid w:val="006C6562"/>
    <w:rsid w:val="006D01F8"/>
    <w:rsid w:val="006D24AE"/>
    <w:rsid w:val="006D26EF"/>
    <w:rsid w:val="006D328D"/>
    <w:rsid w:val="006D5811"/>
    <w:rsid w:val="006D773F"/>
    <w:rsid w:val="006E0CD6"/>
    <w:rsid w:val="006E2FB3"/>
    <w:rsid w:val="006E3F6C"/>
    <w:rsid w:val="006E46EE"/>
    <w:rsid w:val="006E63DF"/>
    <w:rsid w:val="006F2E0D"/>
    <w:rsid w:val="006F358C"/>
    <w:rsid w:val="006F40CF"/>
    <w:rsid w:val="006F4A34"/>
    <w:rsid w:val="006F6896"/>
    <w:rsid w:val="006F6BFE"/>
    <w:rsid w:val="0071428B"/>
    <w:rsid w:val="007152B3"/>
    <w:rsid w:val="007160A6"/>
    <w:rsid w:val="00716358"/>
    <w:rsid w:val="00716BAD"/>
    <w:rsid w:val="0071739A"/>
    <w:rsid w:val="00717881"/>
    <w:rsid w:val="007238D7"/>
    <w:rsid w:val="0073021E"/>
    <w:rsid w:val="0073137E"/>
    <w:rsid w:val="007340E0"/>
    <w:rsid w:val="00737B23"/>
    <w:rsid w:val="00741803"/>
    <w:rsid w:val="00741D42"/>
    <w:rsid w:val="00745585"/>
    <w:rsid w:val="0075277B"/>
    <w:rsid w:val="00756CA3"/>
    <w:rsid w:val="00757BCD"/>
    <w:rsid w:val="007625F3"/>
    <w:rsid w:val="0076261B"/>
    <w:rsid w:val="00762AFD"/>
    <w:rsid w:val="00764C96"/>
    <w:rsid w:val="007658DB"/>
    <w:rsid w:val="00765AB3"/>
    <w:rsid w:val="00765B7F"/>
    <w:rsid w:val="007667E9"/>
    <w:rsid w:val="00771FC5"/>
    <w:rsid w:val="00772B65"/>
    <w:rsid w:val="00774ACB"/>
    <w:rsid w:val="00777A29"/>
    <w:rsid w:val="007838D0"/>
    <w:rsid w:val="007870E8"/>
    <w:rsid w:val="00787E7B"/>
    <w:rsid w:val="00790669"/>
    <w:rsid w:val="00792764"/>
    <w:rsid w:val="007942F2"/>
    <w:rsid w:val="00794DE2"/>
    <w:rsid w:val="007951C7"/>
    <w:rsid w:val="00795CD9"/>
    <w:rsid w:val="00796AF1"/>
    <w:rsid w:val="007A2FF4"/>
    <w:rsid w:val="007A380D"/>
    <w:rsid w:val="007A4C69"/>
    <w:rsid w:val="007A5CCE"/>
    <w:rsid w:val="007A7E3A"/>
    <w:rsid w:val="007B7AA5"/>
    <w:rsid w:val="007C1E21"/>
    <w:rsid w:val="007C6A80"/>
    <w:rsid w:val="007D135D"/>
    <w:rsid w:val="007D2A99"/>
    <w:rsid w:val="007D7E66"/>
    <w:rsid w:val="007E366E"/>
    <w:rsid w:val="007E3DE6"/>
    <w:rsid w:val="007E3F06"/>
    <w:rsid w:val="007E639B"/>
    <w:rsid w:val="007F37E3"/>
    <w:rsid w:val="007F3AA6"/>
    <w:rsid w:val="0080131B"/>
    <w:rsid w:val="008013C3"/>
    <w:rsid w:val="00803979"/>
    <w:rsid w:val="00803CDA"/>
    <w:rsid w:val="008048D6"/>
    <w:rsid w:val="008057E3"/>
    <w:rsid w:val="00806CCE"/>
    <w:rsid w:val="00810259"/>
    <w:rsid w:val="00812E4A"/>
    <w:rsid w:val="008131FE"/>
    <w:rsid w:val="00814AF2"/>
    <w:rsid w:val="00823982"/>
    <w:rsid w:val="00835117"/>
    <w:rsid w:val="00835F88"/>
    <w:rsid w:val="00840E85"/>
    <w:rsid w:val="00841AAC"/>
    <w:rsid w:val="0084491A"/>
    <w:rsid w:val="00847D1F"/>
    <w:rsid w:val="00850CD4"/>
    <w:rsid w:val="0085623F"/>
    <w:rsid w:val="00860318"/>
    <w:rsid w:val="0086181F"/>
    <w:rsid w:val="00864E17"/>
    <w:rsid w:val="00866936"/>
    <w:rsid w:val="008670A6"/>
    <w:rsid w:val="008676F6"/>
    <w:rsid w:val="00870F55"/>
    <w:rsid w:val="00871BB2"/>
    <w:rsid w:val="00897081"/>
    <w:rsid w:val="008A08F4"/>
    <w:rsid w:val="008A2546"/>
    <w:rsid w:val="008B034C"/>
    <w:rsid w:val="008B7023"/>
    <w:rsid w:val="008C145C"/>
    <w:rsid w:val="008C1959"/>
    <w:rsid w:val="008C19D3"/>
    <w:rsid w:val="008C31DB"/>
    <w:rsid w:val="008C70B3"/>
    <w:rsid w:val="008D0841"/>
    <w:rsid w:val="008D0C6F"/>
    <w:rsid w:val="008E0252"/>
    <w:rsid w:val="008E0844"/>
    <w:rsid w:val="008E0E2A"/>
    <w:rsid w:val="008E13C8"/>
    <w:rsid w:val="008E2812"/>
    <w:rsid w:val="008E37F8"/>
    <w:rsid w:val="008E41CB"/>
    <w:rsid w:val="008E7FD1"/>
    <w:rsid w:val="008F1BEA"/>
    <w:rsid w:val="008F37C4"/>
    <w:rsid w:val="008F4EC4"/>
    <w:rsid w:val="008F5034"/>
    <w:rsid w:val="008F50A6"/>
    <w:rsid w:val="008F67B9"/>
    <w:rsid w:val="008F7DE0"/>
    <w:rsid w:val="00900DA0"/>
    <w:rsid w:val="00903E6B"/>
    <w:rsid w:val="0090571D"/>
    <w:rsid w:val="00907F2C"/>
    <w:rsid w:val="00914A7E"/>
    <w:rsid w:val="009156B5"/>
    <w:rsid w:val="009157EB"/>
    <w:rsid w:val="00916005"/>
    <w:rsid w:val="0092089C"/>
    <w:rsid w:val="00920A1D"/>
    <w:rsid w:val="00920EF0"/>
    <w:rsid w:val="00924A15"/>
    <w:rsid w:val="00926B26"/>
    <w:rsid w:val="0093125C"/>
    <w:rsid w:val="00934884"/>
    <w:rsid w:val="009368B8"/>
    <w:rsid w:val="00940B33"/>
    <w:rsid w:val="00940B9B"/>
    <w:rsid w:val="009462FB"/>
    <w:rsid w:val="009503D8"/>
    <w:rsid w:val="00952807"/>
    <w:rsid w:val="00965EED"/>
    <w:rsid w:val="0097111E"/>
    <w:rsid w:val="0097177C"/>
    <w:rsid w:val="009719D4"/>
    <w:rsid w:val="00973E90"/>
    <w:rsid w:val="00975919"/>
    <w:rsid w:val="009766AA"/>
    <w:rsid w:val="00982DF4"/>
    <w:rsid w:val="00985A58"/>
    <w:rsid w:val="00990623"/>
    <w:rsid w:val="00992989"/>
    <w:rsid w:val="0099651F"/>
    <w:rsid w:val="009A0178"/>
    <w:rsid w:val="009A1611"/>
    <w:rsid w:val="009A48CB"/>
    <w:rsid w:val="009A57EB"/>
    <w:rsid w:val="009B1268"/>
    <w:rsid w:val="009B1719"/>
    <w:rsid w:val="009B3AA0"/>
    <w:rsid w:val="009C0166"/>
    <w:rsid w:val="009C0583"/>
    <w:rsid w:val="009C2F1E"/>
    <w:rsid w:val="009C32B8"/>
    <w:rsid w:val="009C577B"/>
    <w:rsid w:val="009C67D7"/>
    <w:rsid w:val="009D04A1"/>
    <w:rsid w:val="009D1B7B"/>
    <w:rsid w:val="009D65CF"/>
    <w:rsid w:val="009E4A3E"/>
    <w:rsid w:val="009E68B3"/>
    <w:rsid w:val="009E6C42"/>
    <w:rsid w:val="009E7E67"/>
    <w:rsid w:val="009E7F22"/>
    <w:rsid w:val="009F7590"/>
    <w:rsid w:val="009F78A2"/>
    <w:rsid w:val="009F7FCC"/>
    <w:rsid w:val="00A00345"/>
    <w:rsid w:val="00A023A6"/>
    <w:rsid w:val="00A030AD"/>
    <w:rsid w:val="00A039D1"/>
    <w:rsid w:val="00A04138"/>
    <w:rsid w:val="00A04FE9"/>
    <w:rsid w:val="00A06FA6"/>
    <w:rsid w:val="00A07836"/>
    <w:rsid w:val="00A13937"/>
    <w:rsid w:val="00A15BF3"/>
    <w:rsid w:val="00A17852"/>
    <w:rsid w:val="00A22062"/>
    <w:rsid w:val="00A269DE"/>
    <w:rsid w:val="00A30604"/>
    <w:rsid w:val="00A3164A"/>
    <w:rsid w:val="00A3438B"/>
    <w:rsid w:val="00A47798"/>
    <w:rsid w:val="00A47FEB"/>
    <w:rsid w:val="00A52271"/>
    <w:rsid w:val="00A540B8"/>
    <w:rsid w:val="00A56650"/>
    <w:rsid w:val="00A56F09"/>
    <w:rsid w:val="00A60ADF"/>
    <w:rsid w:val="00A6620F"/>
    <w:rsid w:val="00A67A03"/>
    <w:rsid w:val="00A70E3D"/>
    <w:rsid w:val="00A748D0"/>
    <w:rsid w:val="00A772D9"/>
    <w:rsid w:val="00A77A6E"/>
    <w:rsid w:val="00A82122"/>
    <w:rsid w:val="00A82EB2"/>
    <w:rsid w:val="00A860D4"/>
    <w:rsid w:val="00A86478"/>
    <w:rsid w:val="00A87C3B"/>
    <w:rsid w:val="00A91F6E"/>
    <w:rsid w:val="00A94243"/>
    <w:rsid w:val="00A97F0D"/>
    <w:rsid w:val="00AA0F7C"/>
    <w:rsid w:val="00AA62A8"/>
    <w:rsid w:val="00AA69DC"/>
    <w:rsid w:val="00AA7437"/>
    <w:rsid w:val="00AB0D89"/>
    <w:rsid w:val="00AB3CC7"/>
    <w:rsid w:val="00AB49C4"/>
    <w:rsid w:val="00AC491F"/>
    <w:rsid w:val="00AC493B"/>
    <w:rsid w:val="00AD45A0"/>
    <w:rsid w:val="00AD4EDF"/>
    <w:rsid w:val="00AE1E79"/>
    <w:rsid w:val="00AE2718"/>
    <w:rsid w:val="00AE449E"/>
    <w:rsid w:val="00AE72CE"/>
    <w:rsid w:val="00AE7B0C"/>
    <w:rsid w:val="00AF6320"/>
    <w:rsid w:val="00B0103F"/>
    <w:rsid w:val="00B02E0E"/>
    <w:rsid w:val="00B03F17"/>
    <w:rsid w:val="00B06858"/>
    <w:rsid w:val="00B1562E"/>
    <w:rsid w:val="00B16E93"/>
    <w:rsid w:val="00B21BC1"/>
    <w:rsid w:val="00B27CBD"/>
    <w:rsid w:val="00B3017A"/>
    <w:rsid w:val="00B404A4"/>
    <w:rsid w:val="00B40D3F"/>
    <w:rsid w:val="00B4177F"/>
    <w:rsid w:val="00B418A4"/>
    <w:rsid w:val="00B42F05"/>
    <w:rsid w:val="00B5188B"/>
    <w:rsid w:val="00B52E20"/>
    <w:rsid w:val="00B5453C"/>
    <w:rsid w:val="00B55BB7"/>
    <w:rsid w:val="00B57A1D"/>
    <w:rsid w:val="00B60C43"/>
    <w:rsid w:val="00B619EE"/>
    <w:rsid w:val="00B644BB"/>
    <w:rsid w:val="00B6656B"/>
    <w:rsid w:val="00B72E46"/>
    <w:rsid w:val="00B75C8D"/>
    <w:rsid w:val="00B7624C"/>
    <w:rsid w:val="00B823F3"/>
    <w:rsid w:val="00B82E49"/>
    <w:rsid w:val="00B83292"/>
    <w:rsid w:val="00B90FFA"/>
    <w:rsid w:val="00B91760"/>
    <w:rsid w:val="00B94D9E"/>
    <w:rsid w:val="00B97075"/>
    <w:rsid w:val="00B97738"/>
    <w:rsid w:val="00BA738B"/>
    <w:rsid w:val="00BB49FD"/>
    <w:rsid w:val="00BB789E"/>
    <w:rsid w:val="00BC4325"/>
    <w:rsid w:val="00BC6126"/>
    <w:rsid w:val="00BD211C"/>
    <w:rsid w:val="00BD31B2"/>
    <w:rsid w:val="00BD41F0"/>
    <w:rsid w:val="00BD4EFE"/>
    <w:rsid w:val="00BD61F5"/>
    <w:rsid w:val="00BE0D87"/>
    <w:rsid w:val="00BE12E3"/>
    <w:rsid w:val="00BE22C5"/>
    <w:rsid w:val="00BE288B"/>
    <w:rsid w:val="00BE28BD"/>
    <w:rsid w:val="00BE2F03"/>
    <w:rsid w:val="00BE38D2"/>
    <w:rsid w:val="00BF2FA7"/>
    <w:rsid w:val="00C0085A"/>
    <w:rsid w:val="00C01B40"/>
    <w:rsid w:val="00C04A5E"/>
    <w:rsid w:val="00C05565"/>
    <w:rsid w:val="00C058D4"/>
    <w:rsid w:val="00C06C3F"/>
    <w:rsid w:val="00C07C76"/>
    <w:rsid w:val="00C14179"/>
    <w:rsid w:val="00C16F18"/>
    <w:rsid w:val="00C20C40"/>
    <w:rsid w:val="00C218BA"/>
    <w:rsid w:val="00C2202B"/>
    <w:rsid w:val="00C31238"/>
    <w:rsid w:val="00C313A8"/>
    <w:rsid w:val="00C3304D"/>
    <w:rsid w:val="00C331D4"/>
    <w:rsid w:val="00C3559B"/>
    <w:rsid w:val="00C355E2"/>
    <w:rsid w:val="00C420E6"/>
    <w:rsid w:val="00C43266"/>
    <w:rsid w:val="00C45B62"/>
    <w:rsid w:val="00C45C69"/>
    <w:rsid w:val="00C45FE8"/>
    <w:rsid w:val="00C464F6"/>
    <w:rsid w:val="00C47001"/>
    <w:rsid w:val="00C51155"/>
    <w:rsid w:val="00C53962"/>
    <w:rsid w:val="00C560BA"/>
    <w:rsid w:val="00C57C37"/>
    <w:rsid w:val="00C60022"/>
    <w:rsid w:val="00C62D90"/>
    <w:rsid w:val="00C641F2"/>
    <w:rsid w:val="00C66657"/>
    <w:rsid w:val="00C74AEB"/>
    <w:rsid w:val="00C755A5"/>
    <w:rsid w:val="00C76955"/>
    <w:rsid w:val="00C76A56"/>
    <w:rsid w:val="00C82B7F"/>
    <w:rsid w:val="00C8308C"/>
    <w:rsid w:val="00C8346F"/>
    <w:rsid w:val="00C8465C"/>
    <w:rsid w:val="00C85D4E"/>
    <w:rsid w:val="00C85F75"/>
    <w:rsid w:val="00CA02C3"/>
    <w:rsid w:val="00CA275F"/>
    <w:rsid w:val="00CA2ADD"/>
    <w:rsid w:val="00CA465C"/>
    <w:rsid w:val="00CA5A17"/>
    <w:rsid w:val="00CA5F18"/>
    <w:rsid w:val="00CA66A5"/>
    <w:rsid w:val="00CA71FA"/>
    <w:rsid w:val="00CB0C8E"/>
    <w:rsid w:val="00CB1EC8"/>
    <w:rsid w:val="00CB3EFA"/>
    <w:rsid w:val="00CB427A"/>
    <w:rsid w:val="00CB578B"/>
    <w:rsid w:val="00CD1EEA"/>
    <w:rsid w:val="00CD4CCF"/>
    <w:rsid w:val="00CD5AB2"/>
    <w:rsid w:val="00CD74C1"/>
    <w:rsid w:val="00CE1579"/>
    <w:rsid w:val="00CE377E"/>
    <w:rsid w:val="00CE5349"/>
    <w:rsid w:val="00CF0AA2"/>
    <w:rsid w:val="00CF20E4"/>
    <w:rsid w:val="00CF265C"/>
    <w:rsid w:val="00CF4812"/>
    <w:rsid w:val="00CF6DB1"/>
    <w:rsid w:val="00CF6FC7"/>
    <w:rsid w:val="00CF78B8"/>
    <w:rsid w:val="00D01CC3"/>
    <w:rsid w:val="00D01D39"/>
    <w:rsid w:val="00D059BA"/>
    <w:rsid w:val="00D10C29"/>
    <w:rsid w:val="00D10D84"/>
    <w:rsid w:val="00D13D5B"/>
    <w:rsid w:val="00D17180"/>
    <w:rsid w:val="00D2173D"/>
    <w:rsid w:val="00D228D2"/>
    <w:rsid w:val="00D23F5A"/>
    <w:rsid w:val="00D245EF"/>
    <w:rsid w:val="00D249ED"/>
    <w:rsid w:val="00D25EF7"/>
    <w:rsid w:val="00D27076"/>
    <w:rsid w:val="00D276FF"/>
    <w:rsid w:val="00D317C3"/>
    <w:rsid w:val="00D36ABA"/>
    <w:rsid w:val="00D40823"/>
    <w:rsid w:val="00D420BD"/>
    <w:rsid w:val="00D516B4"/>
    <w:rsid w:val="00D55F18"/>
    <w:rsid w:val="00D568FD"/>
    <w:rsid w:val="00D612B9"/>
    <w:rsid w:val="00D631BE"/>
    <w:rsid w:val="00D67FB6"/>
    <w:rsid w:val="00D72FE3"/>
    <w:rsid w:val="00D7579D"/>
    <w:rsid w:val="00D776C3"/>
    <w:rsid w:val="00D81BC8"/>
    <w:rsid w:val="00D94DBC"/>
    <w:rsid w:val="00D97C81"/>
    <w:rsid w:val="00DA2559"/>
    <w:rsid w:val="00DA28B4"/>
    <w:rsid w:val="00DB7716"/>
    <w:rsid w:val="00DC0512"/>
    <w:rsid w:val="00DC0E42"/>
    <w:rsid w:val="00DC1F43"/>
    <w:rsid w:val="00DC2C5F"/>
    <w:rsid w:val="00DC633C"/>
    <w:rsid w:val="00DC7090"/>
    <w:rsid w:val="00DD034F"/>
    <w:rsid w:val="00DD1DA8"/>
    <w:rsid w:val="00DD21D5"/>
    <w:rsid w:val="00DD45A9"/>
    <w:rsid w:val="00DD45FD"/>
    <w:rsid w:val="00DD74CB"/>
    <w:rsid w:val="00DD7D67"/>
    <w:rsid w:val="00DE13C4"/>
    <w:rsid w:val="00DE6CCA"/>
    <w:rsid w:val="00DF07DB"/>
    <w:rsid w:val="00DF120B"/>
    <w:rsid w:val="00DF20BA"/>
    <w:rsid w:val="00E00570"/>
    <w:rsid w:val="00E014FB"/>
    <w:rsid w:val="00E01891"/>
    <w:rsid w:val="00E01A72"/>
    <w:rsid w:val="00E027C4"/>
    <w:rsid w:val="00E02FC1"/>
    <w:rsid w:val="00E11938"/>
    <w:rsid w:val="00E154EB"/>
    <w:rsid w:val="00E1659C"/>
    <w:rsid w:val="00E17513"/>
    <w:rsid w:val="00E2057A"/>
    <w:rsid w:val="00E22AEF"/>
    <w:rsid w:val="00E26585"/>
    <w:rsid w:val="00E26FE4"/>
    <w:rsid w:val="00E275A3"/>
    <w:rsid w:val="00E30F84"/>
    <w:rsid w:val="00E41CE4"/>
    <w:rsid w:val="00E50917"/>
    <w:rsid w:val="00E5098C"/>
    <w:rsid w:val="00E513CE"/>
    <w:rsid w:val="00E53691"/>
    <w:rsid w:val="00E54E7F"/>
    <w:rsid w:val="00E604E4"/>
    <w:rsid w:val="00E607A8"/>
    <w:rsid w:val="00E613E5"/>
    <w:rsid w:val="00E62B1C"/>
    <w:rsid w:val="00E71938"/>
    <w:rsid w:val="00E72EF0"/>
    <w:rsid w:val="00E73430"/>
    <w:rsid w:val="00E73767"/>
    <w:rsid w:val="00E7472D"/>
    <w:rsid w:val="00E903D7"/>
    <w:rsid w:val="00E90510"/>
    <w:rsid w:val="00E92EB3"/>
    <w:rsid w:val="00E94A19"/>
    <w:rsid w:val="00E95168"/>
    <w:rsid w:val="00E951B6"/>
    <w:rsid w:val="00E95272"/>
    <w:rsid w:val="00EA0214"/>
    <w:rsid w:val="00EA13ED"/>
    <w:rsid w:val="00EA4E15"/>
    <w:rsid w:val="00EA7816"/>
    <w:rsid w:val="00EB1541"/>
    <w:rsid w:val="00EB1AC1"/>
    <w:rsid w:val="00EB3A24"/>
    <w:rsid w:val="00EB437C"/>
    <w:rsid w:val="00EB4686"/>
    <w:rsid w:val="00EB5EBB"/>
    <w:rsid w:val="00EC0585"/>
    <w:rsid w:val="00EC0FEE"/>
    <w:rsid w:val="00ED045E"/>
    <w:rsid w:val="00ED1169"/>
    <w:rsid w:val="00ED45E7"/>
    <w:rsid w:val="00ED57B1"/>
    <w:rsid w:val="00EE0DFF"/>
    <w:rsid w:val="00EE13EB"/>
    <w:rsid w:val="00EE18FE"/>
    <w:rsid w:val="00EE5B0B"/>
    <w:rsid w:val="00EF0179"/>
    <w:rsid w:val="00EF2112"/>
    <w:rsid w:val="00EF544F"/>
    <w:rsid w:val="00EF5A3E"/>
    <w:rsid w:val="00EF7115"/>
    <w:rsid w:val="00F001DD"/>
    <w:rsid w:val="00F003BC"/>
    <w:rsid w:val="00F03116"/>
    <w:rsid w:val="00F10BAE"/>
    <w:rsid w:val="00F137BC"/>
    <w:rsid w:val="00F13B8C"/>
    <w:rsid w:val="00F17D78"/>
    <w:rsid w:val="00F2025A"/>
    <w:rsid w:val="00F20348"/>
    <w:rsid w:val="00F2417D"/>
    <w:rsid w:val="00F32632"/>
    <w:rsid w:val="00F3750A"/>
    <w:rsid w:val="00F44E68"/>
    <w:rsid w:val="00F4732A"/>
    <w:rsid w:val="00F47CC6"/>
    <w:rsid w:val="00F5278A"/>
    <w:rsid w:val="00F53290"/>
    <w:rsid w:val="00F532BE"/>
    <w:rsid w:val="00F56998"/>
    <w:rsid w:val="00F57148"/>
    <w:rsid w:val="00F57AC7"/>
    <w:rsid w:val="00F6096A"/>
    <w:rsid w:val="00F61D90"/>
    <w:rsid w:val="00F63629"/>
    <w:rsid w:val="00F65C52"/>
    <w:rsid w:val="00F67D41"/>
    <w:rsid w:val="00F70520"/>
    <w:rsid w:val="00F70924"/>
    <w:rsid w:val="00F7525F"/>
    <w:rsid w:val="00F7527D"/>
    <w:rsid w:val="00F762A6"/>
    <w:rsid w:val="00F774C7"/>
    <w:rsid w:val="00F77BD4"/>
    <w:rsid w:val="00F816D6"/>
    <w:rsid w:val="00F932A3"/>
    <w:rsid w:val="00F93DD8"/>
    <w:rsid w:val="00F95474"/>
    <w:rsid w:val="00FA022E"/>
    <w:rsid w:val="00FA2F3A"/>
    <w:rsid w:val="00FA720A"/>
    <w:rsid w:val="00FA7B03"/>
    <w:rsid w:val="00FB0D07"/>
    <w:rsid w:val="00FB48BD"/>
    <w:rsid w:val="00FB4A08"/>
    <w:rsid w:val="00FC2565"/>
    <w:rsid w:val="00FC3170"/>
    <w:rsid w:val="00FC45DC"/>
    <w:rsid w:val="00FC4CE4"/>
    <w:rsid w:val="00FC550C"/>
    <w:rsid w:val="00FC70BD"/>
    <w:rsid w:val="00FD03DF"/>
    <w:rsid w:val="00FD16C4"/>
    <w:rsid w:val="00FD1730"/>
    <w:rsid w:val="00FD798D"/>
    <w:rsid w:val="00FE1EB0"/>
    <w:rsid w:val="00FE3361"/>
    <w:rsid w:val="00FE3581"/>
    <w:rsid w:val="00FE5B29"/>
    <w:rsid w:val="00FE6FEC"/>
    <w:rsid w:val="00FE7B23"/>
    <w:rsid w:val="00FF04E9"/>
    <w:rsid w:val="00FF2B2F"/>
    <w:rsid w:val="00FF2F94"/>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6A1221"/>
  <w15:docId w15:val="{1B979C47-501E-4945-B7B7-EFBE64C10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lang w:val="en-GB" w:eastAsia="en-US"/>
    </w:rPr>
  </w:style>
  <w:style w:type="paragraph" w:styleId="Heading1">
    <w:name w:val="heading 1"/>
    <w:basedOn w:val="Normal"/>
    <w:next w:val="Normal"/>
    <w:qFormat/>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keepLines/>
      <w:spacing w:before="200" w:after="240" w:line="200" w:lineRule="exact"/>
    </w:pPr>
    <w:rPr>
      <w:sz w:val="16"/>
    </w:rPr>
  </w:style>
  <w:style w:type="paragraph" w:customStyle="1" w:styleId="Els-1storder-head">
    <w:name w:val="Els-1storder-head"/>
    <w:next w:val="Els-body-text"/>
    <w:pPr>
      <w:keepNext/>
      <w:numPr>
        <w:numId w:val="5"/>
      </w:numPr>
      <w:tabs>
        <w:tab w:val="num" w:pos="360"/>
      </w:tabs>
      <w:suppressAutoHyphens/>
      <w:spacing w:before="240" w:after="240" w:line="240" w:lineRule="exact"/>
    </w:pPr>
    <w:rPr>
      <w:b/>
      <w:lang w:val="en-US" w:eastAsia="en-US"/>
    </w:rPr>
  </w:style>
  <w:style w:type="paragraph" w:customStyle="1" w:styleId="Els-2ndorder-head">
    <w:name w:val="Els-2ndorder-head"/>
    <w:next w:val="Els-body-text"/>
    <w:pPr>
      <w:keepNext/>
      <w:numPr>
        <w:ilvl w:val="1"/>
        <w:numId w:val="6"/>
      </w:numPr>
      <w:tabs>
        <w:tab w:val="num" w:pos="360"/>
      </w:tabs>
      <w:suppressAutoHyphens/>
      <w:spacing w:before="240" w:after="240" w:line="240" w:lineRule="exact"/>
    </w:pPr>
    <w:rPr>
      <w:i/>
      <w:lang w:val="en-US" w:eastAsia="en-US"/>
    </w:rPr>
  </w:style>
  <w:style w:type="paragraph" w:customStyle="1" w:styleId="Els-3rdorder-head">
    <w:name w:val="Els-3rdorder-head"/>
    <w:next w:val="Els-body-text"/>
    <w:pPr>
      <w:keepNext/>
      <w:numPr>
        <w:ilvl w:val="2"/>
        <w:numId w:val="7"/>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8"/>
      </w:numPr>
      <w:suppressAutoHyphens/>
      <w:spacing w:before="240" w:line="240" w:lineRule="exact"/>
    </w:pPr>
    <w:rPr>
      <w:i/>
      <w:lang w:val="en-US" w:eastAsia="en-US"/>
    </w:rPr>
  </w:style>
  <w:style w:type="paragraph" w:customStyle="1" w:styleId="Els-Abstract-head">
    <w:name w:val="Els-Abstract-head"/>
    <w:next w:val="Normal"/>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pPr>
      <w:spacing w:line="220" w:lineRule="exact"/>
      <w:jc w:val="both"/>
    </w:pPr>
    <w:rPr>
      <w:sz w:val="18"/>
      <w:lang w:val="en-US" w:eastAsia="en-US"/>
    </w:rPr>
  </w:style>
  <w:style w:type="paragraph" w:customStyle="1" w:styleId="Els-acknowledgement">
    <w:name w:val="Els-acknowledgement"/>
    <w:next w:val="Normal"/>
    <w:pPr>
      <w:keepNext/>
      <w:spacing w:before="480" w:after="240" w:line="220" w:lineRule="exact"/>
    </w:pPr>
    <w:rPr>
      <w:b/>
      <w:lang w:val="en-US" w:eastAsia="en-US"/>
    </w:rPr>
  </w:style>
  <w:style w:type="paragraph" w:customStyle="1" w:styleId="Els-aditional-article-history">
    <w:name w:val="Els-aditional-article-history"/>
    <w:basedOn w:val="Normal"/>
    <w:pPr>
      <w:spacing w:after="400" w:line="200" w:lineRule="exact"/>
      <w:jc w:val="center"/>
    </w:pPr>
    <w:rPr>
      <w:b/>
      <w:noProof/>
      <w:sz w:val="16"/>
      <w:lang w:val="en-US"/>
    </w:rPr>
  </w:style>
  <w:style w:type="paragraph" w:customStyle="1" w:styleId="Els-Affiliation">
    <w:name w:val="Els-Affiliation"/>
    <w:next w:val="Els-Abstract-head"/>
    <w:pPr>
      <w:suppressAutoHyphens/>
      <w:spacing w:line="200" w:lineRule="exact"/>
      <w:jc w:val="center"/>
    </w:pPr>
    <w:rPr>
      <w:i/>
      <w:noProof/>
      <w:sz w:val="16"/>
      <w:lang w:val="en-US" w:eastAsia="en-US"/>
    </w:rPr>
  </w:style>
  <w:style w:type="paragraph" w:customStyle="1" w:styleId="Els-appendixhead">
    <w:name w:val="Els-appendixhead"/>
    <w:next w:val="Normal"/>
    <w:pPr>
      <w:numPr>
        <w:numId w:val="1"/>
      </w:numPr>
      <w:spacing w:before="480" w:after="240" w:line="220" w:lineRule="exact"/>
    </w:pPr>
    <w:rPr>
      <w:b/>
      <w:lang w:val="en-US" w:eastAsia="en-US"/>
    </w:rPr>
  </w:style>
  <w:style w:type="paragraph" w:customStyle="1" w:styleId="Els-appendixsubhead">
    <w:name w:val="Els-appendixsubhead"/>
    <w:next w:val="Normal"/>
    <w:pPr>
      <w:numPr>
        <w:ilvl w:val="1"/>
        <w:numId w:val="2"/>
      </w:numPr>
      <w:spacing w:before="240" w:after="240" w:line="220" w:lineRule="exact"/>
      <w:ind w:left="0"/>
    </w:pPr>
    <w:rPr>
      <w:i/>
      <w:lang w:val="en-US" w:eastAsia="en-US"/>
    </w:rPr>
  </w:style>
  <w:style w:type="paragraph" w:customStyle="1" w:styleId="Els-Author">
    <w:name w:val="Els-Author"/>
    <w:next w:val="Normal"/>
    <w:pPr>
      <w:keepNext/>
      <w:suppressAutoHyphens/>
      <w:spacing w:after="160" w:line="300" w:lineRule="exact"/>
      <w:jc w:val="center"/>
    </w:pPr>
    <w:rPr>
      <w:noProof/>
      <w:sz w:val="26"/>
      <w:lang w:val="en-US" w:eastAsia="en-US"/>
    </w:rPr>
  </w:style>
  <w:style w:type="paragraph" w:customStyle="1" w:styleId="Els-body-text">
    <w:name w:val="Els-body-text"/>
    <w:pPr>
      <w:spacing w:line="240" w:lineRule="exact"/>
      <w:ind w:firstLine="238"/>
      <w:jc w:val="both"/>
    </w:pPr>
    <w:rPr>
      <w:lang w:val="en-US" w:eastAsia="en-US"/>
    </w:rPr>
  </w:style>
  <w:style w:type="paragraph" w:customStyle="1" w:styleId="Els-bulletlist">
    <w:name w:val="Els-bulletlist"/>
    <w:basedOn w:val="Els-body-text"/>
    <w:pPr>
      <w:numPr>
        <w:numId w:val="3"/>
      </w:numPr>
      <w:tabs>
        <w:tab w:val="left" w:pos="240"/>
      </w:tabs>
      <w:jc w:val="left"/>
    </w:pPr>
  </w:style>
  <w:style w:type="paragraph" w:customStyle="1" w:styleId="Els-caption">
    <w:name w:val="Els-caption"/>
    <w:pPr>
      <w:keepLines/>
      <w:spacing w:before="200" w:after="240" w:line="200" w:lineRule="exact"/>
    </w:pPr>
    <w:rPr>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pPr>
      <w:widowControl w:val="0"/>
      <w:tabs>
        <w:tab w:val="right" w:pos="4320"/>
        <w:tab w:val="right" w:pos="9120"/>
      </w:tabs>
      <w:spacing w:before="240" w:after="240"/>
      <w:ind w:left="482"/>
    </w:pPr>
    <w:rPr>
      <w:i/>
      <w:noProof/>
      <w:lang w:val="en-US" w:eastAsia="en-US"/>
    </w:rPr>
  </w:style>
  <w:style w:type="paragraph" w:customStyle="1" w:styleId="Els-footnote">
    <w:name w:val="Els-footnote"/>
    <w:pPr>
      <w:keepLines/>
      <w:widowControl w:val="0"/>
      <w:spacing w:line="200" w:lineRule="exact"/>
      <w:ind w:firstLine="245"/>
      <w:jc w:val="both"/>
    </w:pPr>
    <w:rPr>
      <w:sz w:val="16"/>
      <w:lang w:val="en-US" w:eastAsia="en-US"/>
    </w:rPr>
  </w:style>
  <w:style w:type="paragraph" w:customStyle="1" w:styleId="Els-history">
    <w:name w:val="Els-history"/>
    <w:next w:val="Normal"/>
    <w:pPr>
      <w:spacing w:before="120" w:after="400" w:line="200" w:lineRule="exact"/>
      <w:jc w:val="center"/>
    </w:pPr>
    <w:rPr>
      <w:noProof/>
      <w:sz w:val="16"/>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pPr>
      <w:pBdr>
        <w:bottom w:val="single" w:sz="4" w:space="10" w:color="auto"/>
      </w:pBdr>
      <w:spacing w:after="200" w:line="200" w:lineRule="exact"/>
    </w:pPr>
    <w:rPr>
      <w:noProof/>
      <w:sz w:val="16"/>
      <w:lang w:val="en-US" w:eastAsia="en-US"/>
    </w:rPr>
  </w:style>
  <w:style w:type="paragraph" w:customStyle="1" w:styleId="Els-numlist">
    <w:name w:val="Els-numlist"/>
    <w:basedOn w:val="Els-body-text"/>
    <w:pPr>
      <w:numPr>
        <w:numId w:val="4"/>
      </w:numPr>
      <w:tabs>
        <w:tab w:val="left" w:pos="240"/>
      </w:tabs>
      <w:ind w:left="480"/>
      <w:jc w:val="left"/>
    </w:pPr>
  </w:style>
  <w:style w:type="paragraph" w:customStyle="1" w:styleId="Els-reference">
    <w:name w:val="Els-reference"/>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pPr>
      <w:keepNext/>
      <w:spacing w:before="480" w:after="200" w:line="220" w:lineRule="exact"/>
    </w:pPr>
    <w:rPr>
      <w:b/>
      <w:lang w:val="en-US" w:eastAsia="en-US"/>
    </w:rPr>
  </w:style>
  <w:style w:type="paragraph" w:customStyle="1" w:styleId="Els-reprint-line">
    <w:name w:val="Els-reprint-line"/>
    <w:basedOn w:val="Normal"/>
    <w:pPr>
      <w:tabs>
        <w:tab w:val="left" w:pos="0"/>
        <w:tab w:val="center" w:pos="5443"/>
      </w:tabs>
      <w:jc w:val="center"/>
    </w:pPr>
    <w:rPr>
      <w:sz w:val="16"/>
    </w:rPr>
  </w:style>
  <w:style w:type="paragraph" w:customStyle="1" w:styleId="Els-table-text">
    <w:name w:val="Els-table-text"/>
    <w:pPr>
      <w:spacing w:after="80" w:line="200" w:lineRule="exact"/>
    </w:pPr>
    <w:rPr>
      <w:sz w:val="16"/>
      <w:lang w:val="en-US" w:eastAsia="en-US"/>
    </w:rPr>
  </w:style>
  <w:style w:type="paragraph" w:customStyle="1" w:styleId="Els-Title">
    <w:name w:val="Els-Title"/>
    <w:next w:val="Els-Author"/>
    <w:autoRedefine/>
    <w:pPr>
      <w:suppressAutoHyphens/>
      <w:spacing w:after="240" w:line="400" w:lineRule="exact"/>
      <w:jc w:val="center"/>
    </w:pPr>
    <w:rPr>
      <w:sz w:val="34"/>
      <w:lang w:val="en-US" w:eastAsia="en-US"/>
    </w:rPr>
  </w:style>
  <w:style w:type="character" w:styleId="EndnoteReference">
    <w:name w:val="endnote reference"/>
    <w:semiHidden/>
    <w:rPr>
      <w:vertAlign w:val="superscript"/>
    </w:rPr>
  </w:style>
  <w:style w:type="paragraph" w:styleId="Header">
    <w:name w:val="header"/>
    <w:link w:val="HeaderChar"/>
    <w:semiHidden/>
    <w:pPr>
      <w:tabs>
        <w:tab w:val="center" w:pos="4706"/>
        <w:tab w:val="right" w:pos="9356"/>
      </w:tabs>
      <w:spacing w:before="100" w:beforeAutospacing="1" w:after="240" w:line="200" w:lineRule="atLeast"/>
    </w:pPr>
    <w:rPr>
      <w:i/>
      <w:noProof/>
      <w:sz w:val="16"/>
      <w:lang w:val="en-US" w:eastAsia="en-US"/>
    </w:rPr>
  </w:style>
  <w:style w:type="paragraph" w:styleId="Footer">
    <w:name w:val="footer"/>
    <w:basedOn w:val="Header"/>
    <w:link w:val="FooterChar"/>
    <w:uiPriority w:val="99"/>
    <w:pPr>
      <w:tabs>
        <w:tab w:val="right" w:pos="10080"/>
      </w:tabs>
    </w:pPr>
    <w:rPr>
      <w:i w:val="0"/>
    </w:rPr>
  </w:style>
  <w:style w:type="character" w:styleId="FootnoteReference">
    <w:name w:val="footnote reference"/>
    <w:semiHidden/>
    <w:rPr>
      <w:vertAlign w:val="superscript"/>
    </w:rPr>
  </w:style>
  <w:style w:type="paragraph" w:styleId="FootnoteText">
    <w:name w:val="footnote text"/>
    <w:basedOn w:val="Normal"/>
    <w:link w:val="FootnoteTextChar"/>
    <w:semiHidden/>
    <w:rPr>
      <w:rFonts w:ascii="Univers" w:hAnsi="Univers"/>
    </w:rPr>
  </w:style>
  <w:style w:type="character" w:styleId="Hyperlink">
    <w:name w:val="Hyperlink"/>
    <w:semiHidden/>
    <w:rPr>
      <w:color w:val="auto"/>
      <w:sz w:val="16"/>
      <w:u w:val="none"/>
    </w:rPr>
  </w:style>
  <w:style w:type="character" w:customStyle="1" w:styleId="MTEquationSection">
    <w:name w:val="MTEquationSection"/>
    <w:rPr>
      <w:vanish w:val="0"/>
      <w:color w:val="FF0000"/>
    </w:rPr>
  </w:style>
  <w:style w:type="character" w:styleId="PageNumber">
    <w:name w:val="page number"/>
    <w:semiHidden/>
    <w:rPr>
      <w:sz w:val="16"/>
    </w:rPr>
  </w:style>
  <w:style w:type="paragraph" w:styleId="PlainText">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pPr>
      <w:spacing w:after="220"/>
    </w:pPr>
  </w:style>
  <w:style w:type="paragraph" w:customStyle="1" w:styleId="DocHead">
    <w:name w:val="DocHead"/>
    <w:pPr>
      <w:spacing w:before="240" w:after="240"/>
      <w:jc w:val="center"/>
    </w:pPr>
    <w:rPr>
      <w:sz w:val="24"/>
      <w:lang w:val="en-US" w:eastAsia="en-US"/>
    </w:rPr>
  </w:style>
  <w:style w:type="character" w:styleId="FollowedHyperlink">
    <w:name w:val="FollowedHyperlink"/>
    <w:semiHidden/>
    <w:rPr>
      <w:color w:val="800080"/>
      <w:u w:val="single"/>
    </w:rPr>
  </w:style>
  <w:style w:type="character" w:customStyle="1" w:styleId="Els-1storder-headChar">
    <w:name w:val="Els-1storder-head Char"/>
    <w:rPr>
      <w:b/>
      <w:lang w:val="en-US" w:eastAsia="en-US" w:bidi="ar-SA"/>
    </w:rPr>
  </w:style>
  <w:style w:type="character" w:styleId="CommentReference">
    <w:name w:val="annotation reference"/>
    <w:semiHidden/>
    <w:unhideWhenUsed/>
    <w:rPr>
      <w:sz w:val="16"/>
      <w:szCs w:val="16"/>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paragraph" w:styleId="CommentText">
    <w:name w:val="annotation text"/>
    <w:basedOn w:val="Normal"/>
    <w:unhideWhenUsed/>
  </w:style>
  <w:style w:type="character" w:customStyle="1" w:styleId="CommentTextChar">
    <w:name w:val="Comment Text Char"/>
    <w:semiHidden/>
    <w:rPr>
      <w:lang w:val="en-GB"/>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lang w:val="en-GB"/>
    </w:rPr>
  </w:style>
  <w:style w:type="paragraph" w:styleId="BodyTextIndent">
    <w:name w:val="Body Text Indent"/>
    <w:basedOn w:val="Normal"/>
    <w:link w:val="BodyTextIndentChar"/>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pPr>
      <w:widowControl/>
      <w:ind w:left="720"/>
    </w:pPr>
    <w:rPr>
      <w:rFonts w:ascii="Arial" w:eastAsia="Batang" w:hAnsi="Arial"/>
      <w:sz w:val="22"/>
      <w:szCs w:val="24"/>
      <w:lang w:val="en-US" w:eastAsia="ko-KR"/>
    </w:rPr>
  </w:style>
  <w:style w:type="paragraph" w:styleId="BodyTextIndent2">
    <w:name w:val="Body Text Indent 2"/>
    <w:basedOn w:val="Normal"/>
    <w:semiHidden/>
    <w:pPr>
      <w:ind w:firstLine="240"/>
    </w:pPr>
  </w:style>
  <w:style w:type="character" w:styleId="PlaceholderText">
    <w:name w:val="Placeholder Text"/>
    <w:basedOn w:val="DefaultParagraphFont"/>
    <w:uiPriority w:val="99"/>
    <w:semiHidden/>
    <w:rsid w:val="00BD61F5"/>
    <w:rPr>
      <w:color w:val="808080"/>
    </w:rPr>
  </w:style>
  <w:style w:type="character" w:customStyle="1" w:styleId="BodyTextIndentChar">
    <w:name w:val="Body Text Indent Char"/>
    <w:basedOn w:val="DefaultParagraphFont"/>
    <w:link w:val="BodyTextIndent"/>
    <w:semiHidden/>
    <w:rsid w:val="00134262"/>
    <w:rPr>
      <w:rFonts w:eastAsia="Times New Roman"/>
      <w:kern w:val="14"/>
      <w:lang w:val="en-US" w:eastAsia="en-US"/>
    </w:rPr>
  </w:style>
  <w:style w:type="paragraph" w:styleId="ListParagraph">
    <w:name w:val="List Paragraph"/>
    <w:aliases w:val="Body of text"/>
    <w:basedOn w:val="Normal"/>
    <w:link w:val="ListParagraphChar"/>
    <w:uiPriority w:val="34"/>
    <w:qFormat/>
    <w:rsid w:val="00134262"/>
    <w:pPr>
      <w:ind w:left="720"/>
      <w:contextualSpacing/>
    </w:pPr>
  </w:style>
  <w:style w:type="character" w:customStyle="1" w:styleId="HeaderChar">
    <w:name w:val="Header Char"/>
    <w:basedOn w:val="DefaultParagraphFont"/>
    <w:link w:val="Header"/>
    <w:semiHidden/>
    <w:rsid w:val="00D10C29"/>
    <w:rPr>
      <w:i/>
      <w:noProof/>
      <w:sz w:val="16"/>
      <w:lang w:val="en-US" w:eastAsia="en-US"/>
    </w:rPr>
  </w:style>
  <w:style w:type="paragraph" w:customStyle="1" w:styleId="Default">
    <w:name w:val="Default"/>
    <w:rsid w:val="00B02E0E"/>
    <w:pPr>
      <w:autoSpaceDE w:val="0"/>
      <w:autoSpaceDN w:val="0"/>
      <w:adjustRightInd w:val="0"/>
    </w:pPr>
    <w:rPr>
      <w:rFonts w:ascii="BIPPN M+ Gulliver" w:hAnsi="BIPPN M+ Gulliver" w:cs="BIPPN M+ Gulliver"/>
      <w:color w:val="000000"/>
      <w:sz w:val="24"/>
      <w:szCs w:val="24"/>
      <w:lang w:val="en-US"/>
    </w:rPr>
  </w:style>
  <w:style w:type="paragraph" w:styleId="NormalWeb">
    <w:name w:val="Normal (Web)"/>
    <w:basedOn w:val="Normal"/>
    <w:uiPriority w:val="99"/>
    <w:unhideWhenUsed/>
    <w:rsid w:val="00496403"/>
    <w:pPr>
      <w:widowControl/>
      <w:spacing w:before="100" w:beforeAutospacing="1" w:after="100" w:afterAutospacing="1"/>
    </w:pPr>
    <w:rPr>
      <w:rFonts w:eastAsia="Times New Roman"/>
      <w:sz w:val="24"/>
      <w:szCs w:val="24"/>
      <w:lang w:val="en-US"/>
    </w:rPr>
  </w:style>
  <w:style w:type="table" w:styleId="TableGrid">
    <w:name w:val="Table Grid"/>
    <w:basedOn w:val="TableNormal"/>
    <w:uiPriority w:val="59"/>
    <w:rsid w:val="00625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5623F"/>
    <w:rPr>
      <w:color w:val="605E5C"/>
      <w:shd w:val="clear" w:color="auto" w:fill="E1DFDD"/>
    </w:rPr>
  </w:style>
  <w:style w:type="paragraph" w:styleId="BodyText">
    <w:name w:val="Body Text"/>
    <w:basedOn w:val="Normal"/>
    <w:link w:val="BodyTextChar"/>
    <w:uiPriority w:val="99"/>
    <w:semiHidden/>
    <w:unhideWhenUsed/>
    <w:rsid w:val="0001694F"/>
    <w:pPr>
      <w:spacing w:after="120"/>
    </w:pPr>
  </w:style>
  <w:style w:type="character" w:customStyle="1" w:styleId="BodyTextChar">
    <w:name w:val="Body Text Char"/>
    <w:basedOn w:val="DefaultParagraphFont"/>
    <w:link w:val="BodyText"/>
    <w:uiPriority w:val="99"/>
    <w:semiHidden/>
    <w:rsid w:val="0001694F"/>
    <w:rPr>
      <w:lang w:val="en-GB" w:eastAsia="en-US"/>
    </w:rPr>
  </w:style>
  <w:style w:type="table" w:styleId="TableGrid2">
    <w:name w:val="Table Grid 2"/>
    <w:basedOn w:val="TableNormal"/>
    <w:rsid w:val="00050BCB"/>
    <w:rPr>
      <w:rFonts w:eastAsia="Times New Roman"/>
      <w:lang w:val="en-US"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UnresolvedMention2">
    <w:name w:val="Unresolved Mention2"/>
    <w:basedOn w:val="DefaultParagraphFont"/>
    <w:uiPriority w:val="99"/>
    <w:semiHidden/>
    <w:unhideWhenUsed/>
    <w:rsid w:val="00553F2A"/>
    <w:rPr>
      <w:color w:val="605E5C"/>
      <w:shd w:val="clear" w:color="auto" w:fill="E1DFDD"/>
    </w:rPr>
  </w:style>
  <w:style w:type="paragraph" w:customStyle="1" w:styleId="EndnoteText1">
    <w:name w:val="Endnote Text1"/>
    <w:basedOn w:val="Normal"/>
    <w:rsid w:val="000E3E5F"/>
    <w:pPr>
      <w:widowControl/>
      <w:suppressAutoHyphens/>
      <w:ind w:leftChars="-1" w:left="-1" w:hangingChars="1" w:hanging="1"/>
      <w:textDirection w:val="btLr"/>
      <w:textAlignment w:val="top"/>
      <w:outlineLvl w:val="0"/>
    </w:pPr>
    <w:rPr>
      <w:rFonts w:eastAsia="Times New Roman"/>
      <w:position w:val="-1"/>
      <w:szCs w:val="24"/>
      <w:lang w:val="en-ID" w:eastAsia="en-ID"/>
    </w:rPr>
  </w:style>
  <w:style w:type="character" w:customStyle="1" w:styleId="FootnoteTextChar">
    <w:name w:val="Footnote Text Char"/>
    <w:basedOn w:val="DefaultParagraphFont"/>
    <w:link w:val="FootnoteText"/>
    <w:semiHidden/>
    <w:rsid w:val="00F6096A"/>
    <w:rPr>
      <w:rFonts w:ascii="Univers" w:hAnsi="Univers"/>
      <w:lang w:val="en-GB" w:eastAsia="en-US"/>
    </w:rPr>
  </w:style>
  <w:style w:type="character" w:customStyle="1" w:styleId="ListParagraphChar">
    <w:name w:val="List Paragraph Char"/>
    <w:aliases w:val="Body of text Char"/>
    <w:link w:val="ListParagraph"/>
    <w:uiPriority w:val="34"/>
    <w:locked/>
    <w:rsid w:val="00AB0D89"/>
    <w:rPr>
      <w:lang w:val="en-GB" w:eastAsia="en-US"/>
    </w:rPr>
  </w:style>
  <w:style w:type="table" w:customStyle="1" w:styleId="PlainTable21">
    <w:name w:val="Plain Table 21"/>
    <w:basedOn w:val="TableNormal"/>
    <w:uiPriority w:val="42"/>
    <w:rsid w:val="00197F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E92EB3"/>
    <w:rPr>
      <w:lang w:val="en-GB" w:eastAsia="en-US"/>
    </w:rPr>
  </w:style>
  <w:style w:type="character" w:customStyle="1" w:styleId="FooterChar">
    <w:name w:val="Footer Char"/>
    <w:basedOn w:val="DefaultParagraphFont"/>
    <w:link w:val="Footer"/>
    <w:uiPriority w:val="99"/>
    <w:rsid w:val="00685EF0"/>
    <w:rPr>
      <w:noProof/>
      <w:sz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04782">
      <w:bodyDiv w:val="1"/>
      <w:marLeft w:val="0"/>
      <w:marRight w:val="0"/>
      <w:marTop w:val="0"/>
      <w:marBottom w:val="0"/>
      <w:divBdr>
        <w:top w:val="none" w:sz="0" w:space="0" w:color="auto"/>
        <w:left w:val="none" w:sz="0" w:space="0" w:color="auto"/>
        <w:bottom w:val="none" w:sz="0" w:space="0" w:color="auto"/>
        <w:right w:val="none" w:sz="0" w:space="0" w:color="auto"/>
      </w:divBdr>
    </w:div>
    <w:div w:id="55009860">
      <w:bodyDiv w:val="1"/>
      <w:marLeft w:val="0"/>
      <w:marRight w:val="0"/>
      <w:marTop w:val="0"/>
      <w:marBottom w:val="0"/>
      <w:divBdr>
        <w:top w:val="none" w:sz="0" w:space="0" w:color="auto"/>
        <w:left w:val="none" w:sz="0" w:space="0" w:color="auto"/>
        <w:bottom w:val="none" w:sz="0" w:space="0" w:color="auto"/>
        <w:right w:val="none" w:sz="0" w:space="0" w:color="auto"/>
      </w:divBdr>
    </w:div>
    <w:div w:id="56361972">
      <w:bodyDiv w:val="1"/>
      <w:marLeft w:val="0"/>
      <w:marRight w:val="0"/>
      <w:marTop w:val="0"/>
      <w:marBottom w:val="0"/>
      <w:divBdr>
        <w:top w:val="none" w:sz="0" w:space="0" w:color="auto"/>
        <w:left w:val="none" w:sz="0" w:space="0" w:color="auto"/>
        <w:bottom w:val="none" w:sz="0" w:space="0" w:color="auto"/>
        <w:right w:val="none" w:sz="0" w:space="0" w:color="auto"/>
      </w:divBdr>
      <w:divsChild>
        <w:div w:id="495264754">
          <w:marLeft w:val="0"/>
          <w:marRight w:val="0"/>
          <w:marTop w:val="0"/>
          <w:marBottom w:val="0"/>
          <w:divBdr>
            <w:top w:val="none" w:sz="0" w:space="0" w:color="auto"/>
            <w:left w:val="none" w:sz="0" w:space="0" w:color="auto"/>
            <w:bottom w:val="none" w:sz="0" w:space="0" w:color="auto"/>
            <w:right w:val="none" w:sz="0" w:space="0" w:color="auto"/>
          </w:divBdr>
          <w:divsChild>
            <w:div w:id="866220041">
              <w:marLeft w:val="0"/>
              <w:marRight w:val="0"/>
              <w:marTop w:val="0"/>
              <w:marBottom w:val="0"/>
              <w:divBdr>
                <w:top w:val="none" w:sz="0" w:space="0" w:color="auto"/>
                <w:left w:val="none" w:sz="0" w:space="0" w:color="auto"/>
                <w:bottom w:val="none" w:sz="0" w:space="0" w:color="auto"/>
                <w:right w:val="none" w:sz="0" w:space="0" w:color="auto"/>
              </w:divBdr>
              <w:divsChild>
                <w:div w:id="203109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2340">
      <w:bodyDiv w:val="1"/>
      <w:marLeft w:val="0"/>
      <w:marRight w:val="0"/>
      <w:marTop w:val="0"/>
      <w:marBottom w:val="0"/>
      <w:divBdr>
        <w:top w:val="none" w:sz="0" w:space="0" w:color="auto"/>
        <w:left w:val="none" w:sz="0" w:space="0" w:color="auto"/>
        <w:bottom w:val="none" w:sz="0" w:space="0" w:color="auto"/>
        <w:right w:val="none" w:sz="0" w:space="0" w:color="auto"/>
      </w:divBdr>
    </w:div>
    <w:div w:id="320934549">
      <w:marLeft w:val="640"/>
      <w:marRight w:val="0"/>
      <w:marTop w:val="0"/>
      <w:marBottom w:val="0"/>
      <w:divBdr>
        <w:top w:val="none" w:sz="0" w:space="0" w:color="auto"/>
        <w:left w:val="none" w:sz="0" w:space="0" w:color="auto"/>
        <w:bottom w:val="none" w:sz="0" w:space="0" w:color="auto"/>
        <w:right w:val="none" w:sz="0" w:space="0" w:color="auto"/>
      </w:divBdr>
    </w:div>
    <w:div w:id="337469163">
      <w:marLeft w:val="640"/>
      <w:marRight w:val="0"/>
      <w:marTop w:val="0"/>
      <w:marBottom w:val="0"/>
      <w:divBdr>
        <w:top w:val="none" w:sz="0" w:space="0" w:color="auto"/>
        <w:left w:val="none" w:sz="0" w:space="0" w:color="auto"/>
        <w:bottom w:val="none" w:sz="0" w:space="0" w:color="auto"/>
        <w:right w:val="none" w:sz="0" w:space="0" w:color="auto"/>
      </w:divBdr>
    </w:div>
    <w:div w:id="359665200">
      <w:marLeft w:val="640"/>
      <w:marRight w:val="0"/>
      <w:marTop w:val="0"/>
      <w:marBottom w:val="0"/>
      <w:divBdr>
        <w:top w:val="none" w:sz="0" w:space="0" w:color="auto"/>
        <w:left w:val="none" w:sz="0" w:space="0" w:color="auto"/>
        <w:bottom w:val="none" w:sz="0" w:space="0" w:color="auto"/>
        <w:right w:val="none" w:sz="0" w:space="0" w:color="auto"/>
      </w:divBdr>
    </w:div>
    <w:div w:id="367335420">
      <w:bodyDiv w:val="1"/>
      <w:marLeft w:val="0"/>
      <w:marRight w:val="0"/>
      <w:marTop w:val="0"/>
      <w:marBottom w:val="0"/>
      <w:divBdr>
        <w:top w:val="none" w:sz="0" w:space="0" w:color="auto"/>
        <w:left w:val="none" w:sz="0" w:space="0" w:color="auto"/>
        <w:bottom w:val="none" w:sz="0" w:space="0" w:color="auto"/>
        <w:right w:val="none" w:sz="0" w:space="0" w:color="auto"/>
      </w:divBdr>
      <w:divsChild>
        <w:div w:id="1674143950">
          <w:marLeft w:val="640"/>
          <w:marRight w:val="0"/>
          <w:marTop w:val="0"/>
          <w:marBottom w:val="0"/>
          <w:divBdr>
            <w:top w:val="none" w:sz="0" w:space="0" w:color="auto"/>
            <w:left w:val="none" w:sz="0" w:space="0" w:color="auto"/>
            <w:bottom w:val="none" w:sz="0" w:space="0" w:color="auto"/>
            <w:right w:val="none" w:sz="0" w:space="0" w:color="auto"/>
          </w:divBdr>
        </w:div>
        <w:div w:id="1466582993">
          <w:marLeft w:val="640"/>
          <w:marRight w:val="0"/>
          <w:marTop w:val="0"/>
          <w:marBottom w:val="0"/>
          <w:divBdr>
            <w:top w:val="none" w:sz="0" w:space="0" w:color="auto"/>
            <w:left w:val="none" w:sz="0" w:space="0" w:color="auto"/>
            <w:bottom w:val="none" w:sz="0" w:space="0" w:color="auto"/>
            <w:right w:val="none" w:sz="0" w:space="0" w:color="auto"/>
          </w:divBdr>
        </w:div>
        <w:div w:id="486017720">
          <w:marLeft w:val="640"/>
          <w:marRight w:val="0"/>
          <w:marTop w:val="0"/>
          <w:marBottom w:val="0"/>
          <w:divBdr>
            <w:top w:val="none" w:sz="0" w:space="0" w:color="auto"/>
            <w:left w:val="none" w:sz="0" w:space="0" w:color="auto"/>
            <w:bottom w:val="none" w:sz="0" w:space="0" w:color="auto"/>
            <w:right w:val="none" w:sz="0" w:space="0" w:color="auto"/>
          </w:divBdr>
        </w:div>
        <w:div w:id="546067630">
          <w:marLeft w:val="640"/>
          <w:marRight w:val="0"/>
          <w:marTop w:val="0"/>
          <w:marBottom w:val="0"/>
          <w:divBdr>
            <w:top w:val="none" w:sz="0" w:space="0" w:color="auto"/>
            <w:left w:val="none" w:sz="0" w:space="0" w:color="auto"/>
            <w:bottom w:val="none" w:sz="0" w:space="0" w:color="auto"/>
            <w:right w:val="none" w:sz="0" w:space="0" w:color="auto"/>
          </w:divBdr>
        </w:div>
        <w:div w:id="512257651">
          <w:marLeft w:val="640"/>
          <w:marRight w:val="0"/>
          <w:marTop w:val="0"/>
          <w:marBottom w:val="0"/>
          <w:divBdr>
            <w:top w:val="none" w:sz="0" w:space="0" w:color="auto"/>
            <w:left w:val="none" w:sz="0" w:space="0" w:color="auto"/>
            <w:bottom w:val="none" w:sz="0" w:space="0" w:color="auto"/>
            <w:right w:val="none" w:sz="0" w:space="0" w:color="auto"/>
          </w:divBdr>
        </w:div>
        <w:div w:id="221134673">
          <w:marLeft w:val="640"/>
          <w:marRight w:val="0"/>
          <w:marTop w:val="0"/>
          <w:marBottom w:val="0"/>
          <w:divBdr>
            <w:top w:val="none" w:sz="0" w:space="0" w:color="auto"/>
            <w:left w:val="none" w:sz="0" w:space="0" w:color="auto"/>
            <w:bottom w:val="none" w:sz="0" w:space="0" w:color="auto"/>
            <w:right w:val="none" w:sz="0" w:space="0" w:color="auto"/>
          </w:divBdr>
        </w:div>
        <w:div w:id="1966764846">
          <w:marLeft w:val="640"/>
          <w:marRight w:val="0"/>
          <w:marTop w:val="0"/>
          <w:marBottom w:val="0"/>
          <w:divBdr>
            <w:top w:val="none" w:sz="0" w:space="0" w:color="auto"/>
            <w:left w:val="none" w:sz="0" w:space="0" w:color="auto"/>
            <w:bottom w:val="none" w:sz="0" w:space="0" w:color="auto"/>
            <w:right w:val="none" w:sz="0" w:space="0" w:color="auto"/>
          </w:divBdr>
        </w:div>
        <w:div w:id="1735931953">
          <w:marLeft w:val="640"/>
          <w:marRight w:val="0"/>
          <w:marTop w:val="0"/>
          <w:marBottom w:val="0"/>
          <w:divBdr>
            <w:top w:val="none" w:sz="0" w:space="0" w:color="auto"/>
            <w:left w:val="none" w:sz="0" w:space="0" w:color="auto"/>
            <w:bottom w:val="none" w:sz="0" w:space="0" w:color="auto"/>
            <w:right w:val="none" w:sz="0" w:space="0" w:color="auto"/>
          </w:divBdr>
        </w:div>
        <w:div w:id="234584914">
          <w:marLeft w:val="640"/>
          <w:marRight w:val="0"/>
          <w:marTop w:val="0"/>
          <w:marBottom w:val="0"/>
          <w:divBdr>
            <w:top w:val="none" w:sz="0" w:space="0" w:color="auto"/>
            <w:left w:val="none" w:sz="0" w:space="0" w:color="auto"/>
            <w:bottom w:val="none" w:sz="0" w:space="0" w:color="auto"/>
            <w:right w:val="none" w:sz="0" w:space="0" w:color="auto"/>
          </w:divBdr>
        </w:div>
        <w:div w:id="390542375">
          <w:marLeft w:val="640"/>
          <w:marRight w:val="0"/>
          <w:marTop w:val="0"/>
          <w:marBottom w:val="0"/>
          <w:divBdr>
            <w:top w:val="none" w:sz="0" w:space="0" w:color="auto"/>
            <w:left w:val="none" w:sz="0" w:space="0" w:color="auto"/>
            <w:bottom w:val="none" w:sz="0" w:space="0" w:color="auto"/>
            <w:right w:val="none" w:sz="0" w:space="0" w:color="auto"/>
          </w:divBdr>
        </w:div>
        <w:div w:id="1041831006">
          <w:marLeft w:val="640"/>
          <w:marRight w:val="0"/>
          <w:marTop w:val="0"/>
          <w:marBottom w:val="0"/>
          <w:divBdr>
            <w:top w:val="none" w:sz="0" w:space="0" w:color="auto"/>
            <w:left w:val="none" w:sz="0" w:space="0" w:color="auto"/>
            <w:bottom w:val="none" w:sz="0" w:space="0" w:color="auto"/>
            <w:right w:val="none" w:sz="0" w:space="0" w:color="auto"/>
          </w:divBdr>
        </w:div>
        <w:div w:id="72437622">
          <w:marLeft w:val="640"/>
          <w:marRight w:val="0"/>
          <w:marTop w:val="0"/>
          <w:marBottom w:val="0"/>
          <w:divBdr>
            <w:top w:val="none" w:sz="0" w:space="0" w:color="auto"/>
            <w:left w:val="none" w:sz="0" w:space="0" w:color="auto"/>
            <w:bottom w:val="none" w:sz="0" w:space="0" w:color="auto"/>
            <w:right w:val="none" w:sz="0" w:space="0" w:color="auto"/>
          </w:divBdr>
        </w:div>
        <w:div w:id="1277248396">
          <w:marLeft w:val="640"/>
          <w:marRight w:val="0"/>
          <w:marTop w:val="0"/>
          <w:marBottom w:val="0"/>
          <w:divBdr>
            <w:top w:val="none" w:sz="0" w:space="0" w:color="auto"/>
            <w:left w:val="none" w:sz="0" w:space="0" w:color="auto"/>
            <w:bottom w:val="none" w:sz="0" w:space="0" w:color="auto"/>
            <w:right w:val="none" w:sz="0" w:space="0" w:color="auto"/>
          </w:divBdr>
        </w:div>
        <w:div w:id="939070738">
          <w:marLeft w:val="640"/>
          <w:marRight w:val="0"/>
          <w:marTop w:val="0"/>
          <w:marBottom w:val="0"/>
          <w:divBdr>
            <w:top w:val="none" w:sz="0" w:space="0" w:color="auto"/>
            <w:left w:val="none" w:sz="0" w:space="0" w:color="auto"/>
            <w:bottom w:val="none" w:sz="0" w:space="0" w:color="auto"/>
            <w:right w:val="none" w:sz="0" w:space="0" w:color="auto"/>
          </w:divBdr>
        </w:div>
        <w:div w:id="71969547">
          <w:marLeft w:val="640"/>
          <w:marRight w:val="0"/>
          <w:marTop w:val="0"/>
          <w:marBottom w:val="0"/>
          <w:divBdr>
            <w:top w:val="none" w:sz="0" w:space="0" w:color="auto"/>
            <w:left w:val="none" w:sz="0" w:space="0" w:color="auto"/>
            <w:bottom w:val="none" w:sz="0" w:space="0" w:color="auto"/>
            <w:right w:val="none" w:sz="0" w:space="0" w:color="auto"/>
          </w:divBdr>
        </w:div>
        <w:div w:id="1736784268">
          <w:marLeft w:val="640"/>
          <w:marRight w:val="0"/>
          <w:marTop w:val="0"/>
          <w:marBottom w:val="0"/>
          <w:divBdr>
            <w:top w:val="none" w:sz="0" w:space="0" w:color="auto"/>
            <w:left w:val="none" w:sz="0" w:space="0" w:color="auto"/>
            <w:bottom w:val="none" w:sz="0" w:space="0" w:color="auto"/>
            <w:right w:val="none" w:sz="0" w:space="0" w:color="auto"/>
          </w:divBdr>
        </w:div>
        <w:div w:id="751853874">
          <w:marLeft w:val="640"/>
          <w:marRight w:val="0"/>
          <w:marTop w:val="0"/>
          <w:marBottom w:val="0"/>
          <w:divBdr>
            <w:top w:val="none" w:sz="0" w:space="0" w:color="auto"/>
            <w:left w:val="none" w:sz="0" w:space="0" w:color="auto"/>
            <w:bottom w:val="none" w:sz="0" w:space="0" w:color="auto"/>
            <w:right w:val="none" w:sz="0" w:space="0" w:color="auto"/>
          </w:divBdr>
        </w:div>
      </w:divsChild>
    </w:div>
    <w:div w:id="532497779">
      <w:bodyDiv w:val="1"/>
      <w:marLeft w:val="0"/>
      <w:marRight w:val="0"/>
      <w:marTop w:val="0"/>
      <w:marBottom w:val="0"/>
      <w:divBdr>
        <w:top w:val="none" w:sz="0" w:space="0" w:color="auto"/>
        <w:left w:val="none" w:sz="0" w:space="0" w:color="auto"/>
        <w:bottom w:val="none" w:sz="0" w:space="0" w:color="auto"/>
        <w:right w:val="none" w:sz="0" w:space="0" w:color="auto"/>
      </w:divBdr>
    </w:div>
    <w:div w:id="561913243">
      <w:bodyDiv w:val="1"/>
      <w:marLeft w:val="0"/>
      <w:marRight w:val="0"/>
      <w:marTop w:val="0"/>
      <w:marBottom w:val="0"/>
      <w:divBdr>
        <w:top w:val="none" w:sz="0" w:space="0" w:color="auto"/>
        <w:left w:val="none" w:sz="0" w:space="0" w:color="auto"/>
        <w:bottom w:val="none" w:sz="0" w:space="0" w:color="auto"/>
        <w:right w:val="none" w:sz="0" w:space="0" w:color="auto"/>
      </w:divBdr>
    </w:div>
    <w:div w:id="611673483">
      <w:marLeft w:val="640"/>
      <w:marRight w:val="0"/>
      <w:marTop w:val="0"/>
      <w:marBottom w:val="0"/>
      <w:divBdr>
        <w:top w:val="none" w:sz="0" w:space="0" w:color="auto"/>
        <w:left w:val="none" w:sz="0" w:space="0" w:color="auto"/>
        <w:bottom w:val="none" w:sz="0" w:space="0" w:color="auto"/>
        <w:right w:val="none" w:sz="0" w:space="0" w:color="auto"/>
      </w:divBdr>
    </w:div>
    <w:div w:id="630017178">
      <w:marLeft w:val="640"/>
      <w:marRight w:val="0"/>
      <w:marTop w:val="0"/>
      <w:marBottom w:val="0"/>
      <w:divBdr>
        <w:top w:val="none" w:sz="0" w:space="0" w:color="auto"/>
        <w:left w:val="none" w:sz="0" w:space="0" w:color="auto"/>
        <w:bottom w:val="none" w:sz="0" w:space="0" w:color="auto"/>
        <w:right w:val="none" w:sz="0" w:space="0" w:color="auto"/>
      </w:divBdr>
    </w:div>
    <w:div w:id="680816842">
      <w:bodyDiv w:val="1"/>
      <w:marLeft w:val="0"/>
      <w:marRight w:val="0"/>
      <w:marTop w:val="0"/>
      <w:marBottom w:val="0"/>
      <w:divBdr>
        <w:top w:val="none" w:sz="0" w:space="0" w:color="auto"/>
        <w:left w:val="none" w:sz="0" w:space="0" w:color="auto"/>
        <w:bottom w:val="none" w:sz="0" w:space="0" w:color="auto"/>
        <w:right w:val="none" w:sz="0" w:space="0" w:color="auto"/>
      </w:divBdr>
    </w:div>
    <w:div w:id="845173397">
      <w:marLeft w:val="640"/>
      <w:marRight w:val="0"/>
      <w:marTop w:val="0"/>
      <w:marBottom w:val="0"/>
      <w:divBdr>
        <w:top w:val="none" w:sz="0" w:space="0" w:color="auto"/>
        <w:left w:val="none" w:sz="0" w:space="0" w:color="auto"/>
        <w:bottom w:val="none" w:sz="0" w:space="0" w:color="auto"/>
        <w:right w:val="none" w:sz="0" w:space="0" w:color="auto"/>
      </w:divBdr>
    </w:div>
    <w:div w:id="849443403">
      <w:marLeft w:val="640"/>
      <w:marRight w:val="0"/>
      <w:marTop w:val="0"/>
      <w:marBottom w:val="0"/>
      <w:divBdr>
        <w:top w:val="none" w:sz="0" w:space="0" w:color="auto"/>
        <w:left w:val="none" w:sz="0" w:space="0" w:color="auto"/>
        <w:bottom w:val="none" w:sz="0" w:space="0" w:color="auto"/>
        <w:right w:val="none" w:sz="0" w:space="0" w:color="auto"/>
      </w:divBdr>
    </w:div>
    <w:div w:id="929436359">
      <w:bodyDiv w:val="1"/>
      <w:marLeft w:val="0"/>
      <w:marRight w:val="0"/>
      <w:marTop w:val="0"/>
      <w:marBottom w:val="0"/>
      <w:divBdr>
        <w:top w:val="none" w:sz="0" w:space="0" w:color="auto"/>
        <w:left w:val="none" w:sz="0" w:space="0" w:color="auto"/>
        <w:bottom w:val="none" w:sz="0" w:space="0" w:color="auto"/>
        <w:right w:val="none" w:sz="0" w:space="0" w:color="auto"/>
      </w:divBdr>
      <w:divsChild>
        <w:div w:id="777680022">
          <w:marLeft w:val="640"/>
          <w:marRight w:val="0"/>
          <w:marTop w:val="0"/>
          <w:marBottom w:val="0"/>
          <w:divBdr>
            <w:top w:val="none" w:sz="0" w:space="0" w:color="auto"/>
            <w:left w:val="none" w:sz="0" w:space="0" w:color="auto"/>
            <w:bottom w:val="none" w:sz="0" w:space="0" w:color="auto"/>
            <w:right w:val="none" w:sz="0" w:space="0" w:color="auto"/>
          </w:divBdr>
        </w:div>
        <w:div w:id="1483737499">
          <w:marLeft w:val="640"/>
          <w:marRight w:val="0"/>
          <w:marTop w:val="0"/>
          <w:marBottom w:val="0"/>
          <w:divBdr>
            <w:top w:val="none" w:sz="0" w:space="0" w:color="auto"/>
            <w:left w:val="none" w:sz="0" w:space="0" w:color="auto"/>
            <w:bottom w:val="none" w:sz="0" w:space="0" w:color="auto"/>
            <w:right w:val="none" w:sz="0" w:space="0" w:color="auto"/>
          </w:divBdr>
        </w:div>
        <w:div w:id="1250771233">
          <w:marLeft w:val="640"/>
          <w:marRight w:val="0"/>
          <w:marTop w:val="0"/>
          <w:marBottom w:val="0"/>
          <w:divBdr>
            <w:top w:val="none" w:sz="0" w:space="0" w:color="auto"/>
            <w:left w:val="none" w:sz="0" w:space="0" w:color="auto"/>
            <w:bottom w:val="none" w:sz="0" w:space="0" w:color="auto"/>
            <w:right w:val="none" w:sz="0" w:space="0" w:color="auto"/>
          </w:divBdr>
        </w:div>
        <w:div w:id="2023704406">
          <w:marLeft w:val="640"/>
          <w:marRight w:val="0"/>
          <w:marTop w:val="0"/>
          <w:marBottom w:val="0"/>
          <w:divBdr>
            <w:top w:val="none" w:sz="0" w:space="0" w:color="auto"/>
            <w:left w:val="none" w:sz="0" w:space="0" w:color="auto"/>
            <w:bottom w:val="none" w:sz="0" w:space="0" w:color="auto"/>
            <w:right w:val="none" w:sz="0" w:space="0" w:color="auto"/>
          </w:divBdr>
        </w:div>
        <w:div w:id="2004235759">
          <w:marLeft w:val="640"/>
          <w:marRight w:val="0"/>
          <w:marTop w:val="0"/>
          <w:marBottom w:val="0"/>
          <w:divBdr>
            <w:top w:val="none" w:sz="0" w:space="0" w:color="auto"/>
            <w:left w:val="none" w:sz="0" w:space="0" w:color="auto"/>
            <w:bottom w:val="none" w:sz="0" w:space="0" w:color="auto"/>
            <w:right w:val="none" w:sz="0" w:space="0" w:color="auto"/>
          </w:divBdr>
        </w:div>
        <w:div w:id="2126849705">
          <w:marLeft w:val="640"/>
          <w:marRight w:val="0"/>
          <w:marTop w:val="0"/>
          <w:marBottom w:val="0"/>
          <w:divBdr>
            <w:top w:val="none" w:sz="0" w:space="0" w:color="auto"/>
            <w:left w:val="none" w:sz="0" w:space="0" w:color="auto"/>
            <w:bottom w:val="none" w:sz="0" w:space="0" w:color="auto"/>
            <w:right w:val="none" w:sz="0" w:space="0" w:color="auto"/>
          </w:divBdr>
        </w:div>
        <w:div w:id="273445364">
          <w:marLeft w:val="640"/>
          <w:marRight w:val="0"/>
          <w:marTop w:val="0"/>
          <w:marBottom w:val="0"/>
          <w:divBdr>
            <w:top w:val="none" w:sz="0" w:space="0" w:color="auto"/>
            <w:left w:val="none" w:sz="0" w:space="0" w:color="auto"/>
            <w:bottom w:val="none" w:sz="0" w:space="0" w:color="auto"/>
            <w:right w:val="none" w:sz="0" w:space="0" w:color="auto"/>
          </w:divBdr>
        </w:div>
        <w:div w:id="1342969174">
          <w:marLeft w:val="640"/>
          <w:marRight w:val="0"/>
          <w:marTop w:val="0"/>
          <w:marBottom w:val="0"/>
          <w:divBdr>
            <w:top w:val="none" w:sz="0" w:space="0" w:color="auto"/>
            <w:left w:val="none" w:sz="0" w:space="0" w:color="auto"/>
            <w:bottom w:val="none" w:sz="0" w:space="0" w:color="auto"/>
            <w:right w:val="none" w:sz="0" w:space="0" w:color="auto"/>
          </w:divBdr>
        </w:div>
        <w:div w:id="2050447146">
          <w:marLeft w:val="640"/>
          <w:marRight w:val="0"/>
          <w:marTop w:val="0"/>
          <w:marBottom w:val="0"/>
          <w:divBdr>
            <w:top w:val="none" w:sz="0" w:space="0" w:color="auto"/>
            <w:left w:val="none" w:sz="0" w:space="0" w:color="auto"/>
            <w:bottom w:val="none" w:sz="0" w:space="0" w:color="auto"/>
            <w:right w:val="none" w:sz="0" w:space="0" w:color="auto"/>
          </w:divBdr>
        </w:div>
        <w:div w:id="1709908662">
          <w:marLeft w:val="640"/>
          <w:marRight w:val="0"/>
          <w:marTop w:val="0"/>
          <w:marBottom w:val="0"/>
          <w:divBdr>
            <w:top w:val="none" w:sz="0" w:space="0" w:color="auto"/>
            <w:left w:val="none" w:sz="0" w:space="0" w:color="auto"/>
            <w:bottom w:val="none" w:sz="0" w:space="0" w:color="auto"/>
            <w:right w:val="none" w:sz="0" w:space="0" w:color="auto"/>
          </w:divBdr>
        </w:div>
        <w:div w:id="843398287">
          <w:marLeft w:val="640"/>
          <w:marRight w:val="0"/>
          <w:marTop w:val="0"/>
          <w:marBottom w:val="0"/>
          <w:divBdr>
            <w:top w:val="none" w:sz="0" w:space="0" w:color="auto"/>
            <w:left w:val="none" w:sz="0" w:space="0" w:color="auto"/>
            <w:bottom w:val="none" w:sz="0" w:space="0" w:color="auto"/>
            <w:right w:val="none" w:sz="0" w:space="0" w:color="auto"/>
          </w:divBdr>
        </w:div>
        <w:div w:id="1207794048">
          <w:marLeft w:val="640"/>
          <w:marRight w:val="0"/>
          <w:marTop w:val="0"/>
          <w:marBottom w:val="0"/>
          <w:divBdr>
            <w:top w:val="none" w:sz="0" w:space="0" w:color="auto"/>
            <w:left w:val="none" w:sz="0" w:space="0" w:color="auto"/>
            <w:bottom w:val="none" w:sz="0" w:space="0" w:color="auto"/>
            <w:right w:val="none" w:sz="0" w:space="0" w:color="auto"/>
          </w:divBdr>
        </w:div>
        <w:div w:id="134110195">
          <w:marLeft w:val="640"/>
          <w:marRight w:val="0"/>
          <w:marTop w:val="0"/>
          <w:marBottom w:val="0"/>
          <w:divBdr>
            <w:top w:val="none" w:sz="0" w:space="0" w:color="auto"/>
            <w:left w:val="none" w:sz="0" w:space="0" w:color="auto"/>
            <w:bottom w:val="none" w:sz="0" w:space="0" w:color="auto"/>
            <w:right w:val="none" w:sz="0" w:space="0" w:color="auto"/>
          </w:divBdr>
        </w:div>
        <w:div w:id="1774476470">
          <w:marLeft w:val="640"/>
          <w:marRight w:val="0"/>
          <w:marTop w:val="0"/>
          <w:marBottom w:val="0"/>
          <w:divBdr>
            <w:top w:val="none" w:sz="0" w:space="0" w:color="auto"/>
            <w:left w:val="none" w:sz="0" w:space="0" w:color="auto"/>
            <w:bottom w:val="none" w:sz="0" w:space="0" w:color="auto"/>
            <w:right w:val="none" w:sz="0" w:space="0" w:color="auto"/>
          </w:divBdr>
        </w:div>
        <w:div w:id="1135638122">
          <w:marLeft w:val="640"/>
          <w:marRight w:val="0"/>
          <w:marTop w:val="0"/>
          <w:marBottom w:val="0"/>
          <w:divBdr>
            <w:top w:val="none" w:sz="0" w:space="0" w:color="auto"/>
            <w:left w:val="none" w:sz="0" w:space="0" w:color="auto"/>
            <w:bottom w:val="none" w:sz="0" w:space="0" w:color="auto"/>
            <w:right w:val="none" w:sz="0" w:space="0" w:color="auto"/>
          </w:divBdr>
        </w:div>
        <w:div w:id="902564586">
          <w:marLeft w:val="640"/>
          <w:marRight w:val="0"/>
          <w:marTop w:val="0"/>
          <w:marBottom w:val="0"/>
          <w:divBdr>
            <w:top w:val="none" w:sz="0" w:space="0" w:color="auto"/>
            <w:left w:val="none" w:sz="0" w:space="0" w:color="auto"/>
            <w:bottom w:val="none" w:sz="0" w:space="0" w:color="auto"/>
            <w:right w:val="none" w:sz="0" w:space="0" w:color="auto"/>
          </w:divBdr>
        </w:div>
        <w:div w:id="2098553040">
          <w:marLeft w:val="640"/>
          <w:marRight w:val="0"/>
          <w:marTop w:val="0"/>
          <w:marBottom w:val="0"/>
          <w:divBdr>
            <w:top w:val="none" w:sz="0" w:space="0" w:color="auto"/>
            <w:left w:val="none" w:sz="0" w:space="0" w:color="auto"/>
            <w:bottom w:val="none" w:sz="0" w:space="0" w:color="auto"/>
            <w:right w:val="none" w:sz="0" w:space="0" w:color="auto"/>
          </w:divBdr>
        </w:div>
      </w:divsChild>
    </w:div>
    <w:div w:id="969898789">
      <w:marLeft w:val="640"/>
      <w:marRight w:val="0"/>
      <w:marTop w:val="0"/>
      <w:marBottom w:val="0"/>
      <w:divBdr>
        <w:top w:val="none" w:sz="0" w:space="0" w:color="auto"/>
        <w:left w:val="none" w:sz="0" w:space="0" w:color="auto"/>
        <w:bottom w:val="none" w:sz="0" w:space="0" w:color="auto"/>
        <w:right w:val="none" w:sz="0" w:space="0" w:color="auto"/>
      </w:divBdr>
    </w:div>
    <w:div w:id="1016618885">
      <w:marLeft w:val="640"/>
      <w:marRight w:val="0"/>
      <w:marTop w:val="0"/>
      <w:marBottom w:val="0"/>
      <w:divBdr>
        <w:top w:val="none" w:sz="0" w:space="0" w:color="auto"/>
        <w:left w:val="none" w:sz="0" w:space="0" w:color="auto"/>
        <w:bottom w:val="none" w:sz="0" w:space="0" w:color="auto"/>
        <w:right w:val="none" w:sz="0" w:space="0" w:color="auto"/>
      </w:divBdr>
    </w:div>
    <w:div w:id="1073819873">
      <w:marLeft w:val="640"/>
      <w:marRight w:val="0"/>
      <w:marTop w:val="0"/>
      <w:marBottom w:val="0"/>
      <w:divBdr>
        <w:top w:val="none" w:sz="0" w:space="0" w:color="auto"/>
        <w:left w:val="none" w:sz="0" w:space="0" w:color="auto"/>
        <w:bottom w:val="none" w:sz="0" w:space="0" w:color="auto"/>
        <w:right w:val="none" w:sz="0" w:space="0" w:color="auto"/>
      </w:divBdr>
    </w:div>
    <w:div w:id="1076131070">
      <w:marLeft w:val="640"/>
      <w:marRight w:val="0"/>
      <w:marTop w:val="0"/>
      <w:marBottom w:val="0"/>
      <w:divBdr>
        <w:top w:val="none" w:sz="0" w:space="0" w:color="auto"/>
        <w:left w:val="none" w:sz="0" w:space="0" w:color="auto"/>
        <w:bottom w:val="none" w:sz="0" w:space="0" w:color="auto"/>
        <w:right w:val="none" w:sz="0" w:space="0" w:color="auto"/>
      </w:divBdr>
    </w:div>
    <w:div w:id="1085150858">
      <w:marLeft w:val="640"/>
      <w:marRight w:val="0"/>
      <w:marTop w:val="0"/>
      <w:marBottom w:val="0"/>
      <w:divBdr>
        <w:top w:val="none" w:sz="0" w:space="0" w:color="auto"/>
        <w:left w:val="none" w:sz="0" w:space="0" w:color="auto"/>
        <w:bottom w:val="none" w:sz="0" w:space="0" w:color="auto"/>
        <w:right w:val="none" w:sz="0" w:space="0" w:color="auto"/>
      </w:divBdr>
    </w:div>
    <w:div w:id="1108738581">
      <w:bodyDiv w:val="1"/>
      <w:marLeft w:val="0"/>
      <w:marRight w:val="0"/>
      <w:marTop w:val="0"/>
      <w:marBottom w:val="0"/>
      <w:divBdr>
        <w:top w:val="none" w:sz="0" w:space="0" w:color="auto"/>
        <w:left w:val="none" w:sz="0" w:space="0" w:color="auto"/>
        <w:bottom w:val="none" w:sz="0" w:space="0" w:color="auto"/>
        <w:right w:val="none" w:sz="0" w:space="0" w:color="auto"/>
      </w:divBdr>
      <w:divsChild>
        <w:div w:id="649484098">
          <w:marLeft w:val="640"/>
          <w:marRight w:val="0"/>
          <w:marTop w:val="0"/>
          <w:marBottom w:val="0"/>
          <w:divBdr>
            <w:top w:val="none" w:sz="0" w:space="0" w:color="auto"/>
            <w:left w:val="none" w:sz="0" w:space="0" w:color="auto"/>
            <w:bottom w:val="none" w:sz="0" w:space="0" w:color="auto"/>
            <w:right w:val="none" w:sz="0" w:space="0" w:color="auto"/>
          </w:divBdr>
        </w:div>
        <w:div w:id="1773085956">
          <w:marLeft w:val="640"/>
          <w:marRight w:val="0"/>
          <w:marTop w:val="0"/>
          <w:marBottom w:val="0"/>
          <w:divBdr>
            <w:top w:val="none" w:sz="0" w:space="0" w:color="auto"/>
            <w:left w:val="none" w:sz="0" w:space="0" w:color="auto"/>
            <w:bottom w:val="none" w:sz="0" w:space="0" w:color="auto"/>
            <w:right w:val="none" w:sz="0" w:space="0" w:color="auto"/>
          </w:divBdr>
        </w:div>
        <w:div w:id="148787773">
          <w:marLeft w:val="640"/>
          <w:marRight w:val="0"/>
          <w:marTop w:val="0"/>
          <w:marBottom w:val="0"/>
          <w:divBdr>
            <w:top w:val="none" w:sz="0" w:space="0" w:color="auto"/>
            <w:left w:val="none" w:sz="0" w:space="0" w:color="auto"/>
            <w:bottom w:val="none" w:sz="0" w:space="0" w:color="auto"/>
            <w:right w:val="none" w:sz="0" w:space="0" w:color="auto"/>
          </w:divBdr>
        </w:div>
        <w:div w:id="1779372514">
          <w:marLeft w:val="640"/>
          <w:marRight w:val="0"/>
          <w:marTop w:val="0"/>
          <w:marBottom w:val="0"/>
          <w:divBdr>
            <w:top w:val="none" w:sz="0" w:space="0" w:color="auto"/>
            <w:left w:val="none" w:sz="0" w:space="0" w:color="auto"/>
            <w:bottom w:val="none" w:sz="0" w:space="0" w:color="auto"/>
            <w:right w:val="none" w:sz="0" w:space="0" w:color="auto"/>
          </w:divBdr>
        </w:div>
        <w:div w:id="340355549">
          <w:marLeft w:val="640"/>
          <w:marRight w:val="0"/>
          <w:marTop w:val="0"/>
          <w:marBottom w:val="0"/>
          <w:divBdr>
            <w:top w:val="none" w:sz="0" w:space="0" w:color="auto"/>
            <w:left w:val="none" w:sz="0" w:space="0" w:color="auto"/>
            <w:bottom w:val="none" w:sz="0" w:space="0" w:color="auto"/>
            <w:right w:val="none" w:sz="0" w:space="0" w:color="auto"/>
          </w:divBdr>
        </w:div>
        <w:div w:id="1031567703">
          <w:marLeft w:val="640"/>
          <w:marRight w:val="0"/>
          <w:marTop w:val="0"/>
          <w:marBottom w:val="0"/>
          <w:divBdr>
            <w:top w:val="none" w:sz="0" w:space="0" w:color="auto"/>
            <w:left w:val="none" w:sz="0" w:space="0" w:color="auto"/>
            <w:bottom w:val="none" w:sz="0" w:space="0" w:color="auto"/>
            <w:right w:val="none" w:sz="0" w:space="0" w:color="auto"/>
          </w:divBdr>
        </w:div>
        <w:div w:id="628557119">
          <w:marLeft w:val="640"/>
          <w:marRight w:val="0"/>
          <w:marTop w:val="0"/>
          <w:marBottom w:val="0"/>
          <w:divBdr>
            <w:top w:val="none" w:sz="0" w:space="0" w:color="auto"/>
            <w:left w:val="none" w:sz="0" w:space="0" w:color="auto"/>
            <w:bottom w:val="none" w:sz="0" w:space="0" w:color="auto"/>
            <w:right w:val="none" w:sz="0" w:space="0" w:color="auto"/>
          </w:divBdr>
        </w:div>
        <w:div w:id="1504280141">
          <w:marLeft w:val="640"/>
          <w:marRight w:val="0"/>
          <w:marTop w:val="0"/>
          <w:marBottom w:val="0"/>
          <w:divBdr>
            <w:top w:val="none" w:sz="0" w:space="0" w:color="auto"/>
            <w:left w:val="none" w:sz="0" w:space="0" w:color="auto"/>
            <w:bottom w:val="none" w:sz="0" w:space="0" w:color="auto"/>
            <w:right w:val="none" w:sz="0" w:space="0" w:color="auto"/>
          </w:divBdr>
        </w:div>
        <w:div w:id="2100832358">
          <w:marLeft w:val="640"/>
          <w:marRight w:val="0"/>
          <w:marTop w:val="0"/>
          <w:marBottom w:val="0"/>
          <w:divBdr>
            <w:top w:val="none" w:sz="0" w:space="0" w:color="auto"/>
            <w:left w:val="none" w:sz="0" w:space="0" w:color="auto"/>
            <w:bottom w:val="none" w:sz="0" w:space="0" w:color="auto"/>
            <w:right w:val="none" w:sz="0" w:space="0" w:color="auto"/>
          </w:divBdr>
        </w:div>
        <w:div w:id="1235049917">
          <w:marLeft w:val="640"/>
          <w:marRight w:val="0"/>
          <w:marTop w:val="0"/>
          <w:marBottom w:val="0"/>
          <w:divBdr>
            <w:top w:val="none" w:sz="0" w:space="0" w:color="auto"/>
            <w:left w:val="none" w:sz="0" w:space="0" w:color="auto"/>
            <w:bottom w:val="none" w:sz="0" w:space="0" w:color="auto"/>
            <w:right w:val="none" w:sz="0" w:space="0" w:color="auto"/>
          </w:divBdr>
        </w:div>
        <w:div w:id="885485471">
          <w:marLeft w:val="640"/>
          <w:marRight w:val="0"/>
          <w:marTop w:val="0"/>
          <w:marBottom w:val="0"/>
          <w:divBdr>
            <w:top w:val="none" w:sz="0" w:space="0" w:color="auto"/>
            <w:left w:val="none" w:sz="0" w:space="0" w:color="auto"/>
            <w:bottom w:val="none" w:sz="0" w:space="0" w:color="auto"/>
            <w:right w:val="none" w:sz="0" w:space="0" w:color="auto"/>
          </w:divBdr>
        </w:div>
        <w:div w:id="991451309">
          <w:marLeft w:val="640"/>
          <w:marRight w:val="0"/>
          <w:marTop w:val="0"/>
          <w:marBottom w:val="0"/>
          <w:divBdr>
            <w:top w:val="none" w:sz="0" w:space="0" w:color="auto"/>
            <w:left w:val="none" w:sz="0" w:space="0" w:color="auto"/>
            <w:bottom w:val="none" w:sz="0" w:space="0" w:color="auto"/>
            <w:right w:val="none" w:sz="0" w:space="0" w:color="auto"/>
          </w:divBdr>
        </w:div>
        <w:div w:id="198862548">
          <w:marLeft w:val="640"/>
          <w:marRight w:val="0"/>
          <w:marTop w:val="0"/>
          <w:marBottom w:val="0"/>
          <w:divBdr>
            <w:top w:val="none" w:sz="0" w:space="0" w:color="auto"/>
            <w:left w:val="none" w:sz="0" w:space="0" w:color="auto"/>
            <w:bottom w:val="none" w:sz="0" w:space="0" w:color="auto"/>
            <w:right w:val="none" w:sz="0" w:space="0" w:color="auto"/>
          </w:divBdr>
        </w:div>
        <w:div w:id="476383545">
          <w:marLeft w:val="640"/>
          <w:marRight w:val="0"/>
          <w:marTop w:val="0"/>
          <w:marBottom w:val="0"/>
          <w:divBdr>
            <w:top w:val="none" w:sz="0" w:space="0" w:color="auto"/>
            <w:left w:val="none" w:sz="0" w:space="0" w:color="auto"/>
            <w:bottom w:val="none" w:sz="0" w:space="0" w:color="auto"/>
            <w:right w:val="none" w:sz="0" w:space="0" w:color="auto"/>
          </w:divBdr>
        </w:div>
        <w:div w:id="744953365">
          <w:marLeft w:val="640"/>
          <w:marRight w:val="0"/>
          <w:marTop w:val="0"/>
          <w:marBottom w:val="0"/>
          <w:divBdr>
            <w:top w:val="none" w:sz="0" w:space="0" w:color="auto"/>
            <w:left w:val="none" w:sz="0" w:space="0" w:color="auto"/>
            <w:bottom w:val="none" w:sz="0" w:space="0" w:color="auto"/>
            <w:right w:val="none" w:sz="0" w:space="0" w:color="auto"/>
          </w:divBdr>
        </w:div>
        <w:div w:id="1726443668">
          <w:marLeft w:val="640"/>
          <w:marRight w:val="0"/>
          <w:marTop w:val="0"/>
          <w:marBottom w:val="0"/>
          <w:divBdr>
            <w:top w:val="none" w:sz="0" w:space="0" w:color="auto"/>
            <w:left w:val="none" w:sz="0" w:space="0" w:color="auto"/>
            <w:bottom w:val="none" w:sz="0" w:space="0" w:color="auto"/>
            <w:right w:val="none" w:sz="0" w:space="0" w:color="auto"/>
          </w:divBdr>
        </w:div>
        <w:div w:id="1009019125">
          <w:marLeft w:val="640"/>
          <w:marRight w:val="0"/>
          <w:marTop w:val="0"/>
          <w:marBottom w:val="0"/>
          <w:divBdr>
            <w:top w:val="none" w:sz="0" w:space="0" w:color="auto"/>
            <w:left w:val="none" w:sz="0" w:space="0" w:color="auto"/>
            <w:bottom w:val="none" w:sz="0" w:space="0" w:color="auto"/>
            <w:right w:val="none" w:sz="0" w:space="0" w:color="auto"/>
          </w:divBdr>
        </w:div>
      </w:divsChild>
    </w:div>
    <w:div w:id="1150517112">
      <w:marLeft w:val="640"/>
      <w:marRight w:val="0"/>
      <w:marTop w:val="0"/>
      <w:marBottom w:val="0"/>
      <w:divBdr>
        <w:top w:val="none" w:sz="0" w:space="0" w:color="auto"/>
        <w:left w:val="none" w:sz="0" w:space="0" w:color="auto"/>
        <w:bottom w:val="none" w:sz="0" w:space="0" w:color="auto"/>
        <w:right w:val="none" w:sz="0" w:space="0" w:color="auto"/>
      </w:divBdr>
    </w:div>
    <w:div w:id="1198200540">
      <w:marLeft w:val="640"/>
      <w:marRight w:val="0"/>
      <w:marTop w:val="0"/>
      <w:marBottom w:val="0"/>
      <w:divBdr>
        <w:top w:val="none" w:sz="0" w:space="0" w:color="auto"/>
        <w:left w:val="none" w:sz="0" w:space="0" w:color="auto"/>
        <w:bottom w:val="none" w:sz="0" w:space="0" w:color="auto"/>
        <w:right w:val="none" w:sz="0" w:space="0" w:color="auto"/>
      </w:divBdr>
    </w:div>
    <w:div w:id="1332677240">
      <w:marLeft w:val="640"/>
      <w:marRight w:val="0"/>
      <w:marTop w:val="0"/>
      <w:marBottom w:val="0"/>
      <w:divBdr>
        <w:top w:val="none" w:sz="0" w:space="0" w:color="auto"/>
        <w:left w:val="none" w:sz="0" w:space="0" w:color="auto"/>
        <w:bottom w:val="none" w:sz="0" w:space="0" w:color="auto"/>
        <w:right w:val="none" w:sz="0" w:space="0" w:color="auto"/>
      </w:divBdr>
    </w:div>
    <w:div w:id="1354771812">
      <w:marLeft w:val="640"/>
      <w:marRight w:val="0"/>
      <w:marTop w:val="0"/>
      <w:marBottom w:val="0"/>
      <w:divBdr>
        <w:top w:val="none" w:sz="0" w:space="0" w:color="auto"/>
        <w:left w:val="none" w:sz="0" w:space="0" w:color="auto"/>
        <w:bottom w:val="none" w:sz="0" w:space="0" w:color="auto"/>
        <w:right w:val="none" w:sz="0" w:space="0" w:color="auto"/>
      </w:divBdr>
    </w:div>
    <w:div w:id="1414618993">
      <w:marLeft w:val="640"/>
      <w:marRight w:val="0"/>
      <w:marTop w:val="0"/>
      <w:marBottom w:val="0"/>
      <w:divBdr>
        <w:top w:val="none" w:sz="0" w:space="0" w:color="auto"/>
        <w:left w:val="none" w:sz="0" w:space="0" w:color="auto"/>
        <w:bottom w:val="none" w:sz="0" w:space="0" w:color="auto"/>
        <w:right w:val="none" w:sz="0" w:space="0" w:color="auto"/>
      </w:divBdr>
    </w:div>
    <w:div w:id="1419062680">
      <w:marLeft w:val="640"/>
      <w:marRight w:val="0"/>
      <w:marTop w:val="0"/>
      <w:marBottom w:val="0"/>
      <w:divBdr>
        <w:top w:val="none" w:sz="0" w:space="0" w:color="auto"/>
        <w:left w:val="none" w:sz="0" w:space="0" w:color="auto"/>
        <w:bottom w:val="none" w:sz="0" w:space="0" w:color="auto"/>
        <w:right w:val="none" w:sz="0" w:space="0" w:color="auto"/>
      </w:divBdr>
    </w:div>
    <w:div w:id="1439060286">
      <w:bodyDiv w:val="1"/>
      <w:marLeft w:val="0"/>
      <w:marRight w:val="0"/>
      <w:marTop w:val="0"/>
      <w:marBottom w:val="0"/>
      <w:divBdr>
        <w:top w:val="none" w:sz="0" w:space="0" w:color="auto"/>
        <w:left w:val="none" w:sz="0" w:space="0" w:color="auto"/>
        <w:bottom w:val="none" w:sz="0" w:space="0" w:color="auto"/>
        <w:right w:val="none" w:sz="0" w:space="0" w:color="auto"/>
      </w:divBdr>
    </w:div>
    <w:div w:id="1513643728">
      <w:marLeft w:val="640"/>
      <w:marRight w:val="0"/>
      <w:marTop w:val="0"/>
      <w:marBottom w:val="0"/>
      <w:divBdr>
        <w:top w:val="none" w:sz="0" w:space="0" w:color="auto"/>
        <w:left w:val="none" w:sz="0" w:space="0" w:color="auto"/>
        <w:bottom w:val="none" w:sz="0" w:space="0" w:color="auto"/>
        <w:right w:val="none" w:sz="0" w:space="0" w:color="auto"/>
      </w:divBdr>
    </w:div>
    <w:div w:id="1540632503">
      <w:bodyDiv w:val="1"/>
      <w:marLeft w:val="0"/>
      <w:marRight w:val="0"/>
      <w:marTop w:val="0"/>
      <w:marBottom w:val="0"/>
      <w:divBdr>
        <w:top w:val="none" w:sz="0" w:space="0" w:color="auto"/>
        <w:left w:val="none" w:sz="0" w:space="0" w:color="auto"/>
        <w:bottom w:val="none" w:sz="0" w:space="0" w:color="auto"/>
        <w:right w:val="none" w:sz="0" w:space="0" w:color="auto"/>
      </w:divBdr>
    </w:div>
    <w:div w:id="1621254335">
      <w:marLeft w:val="640"/>
      <w:marRight w:val="0"/>
      <w:marTop w:val="0"/>
      <w:marBottom w:val="0"/>
      <w:divBdr>
        <w:top w:val="none" w:sz="0" w:space="0" w:color="auto"/>
        <w:left w:val="none" w:sz="0" w:space="0" w:color="auto"/>
        <w:bottom w:val="none" w:sz="0" w:space="0" w:color="auto"/>
        <w:right w:val="none" w:sz="0" w:space="0" w:color="auto"/>
      </w:divBdr>
    </w:div>
    <w:div w:id="1643195939">
      <w:marLeft w:val="640"/>
      <w:marRight w:val="0"/>
      <w:marTop w:val="0"/>
      <w:marBottom w:val="0"/>
      <w:divBdr>
        <w:top w:val="none" w:sz="0" w:space="0" w:color="auto"/>
        <w:left w:val="none" w:sz="0" w:space="0" w:color="auto"/>
        <w:bottom w:val="none" w:sz="0" w:space="0" w:color="auto"/>
        <w:right w:val="none" w:sz="0" w:space="0" w:color="auto"/>
      </w:divBdr>
    </w:div>
    <w:div w:id="1646355737">
      <w:bodyDiv w:val="1"/>
      <w:marLeft w:val="0"/>
      <w:marRight w:val="0"/>
      <w:marTop w:val="0"/>
      <w:marBottom w:val="0"/>
      <w:divBdr>
        <w:top w:val="none" w:sz="0" w:space="0" w:color="auto"/>
        <w:left w:val="none" w:sz="0" w:space="0" w:color="auto"/>
        <w:bottom w:val="none" w:sz="0" w:space="0" w:color="auto"/>
        <w:right w:val="none" w:sz="0" w:space="0" w:color="auto"/>
      </w:divBdr>
    </w:div>
    <w:div w:id="1673604303">
      <w:marLeft w:val="640"/>
      <w:marRight w:val="0"/>
      <w:marTop w:val="0"/>
      <w:marBottom w:val="0"/>
      <w:divBdr>
        <w:top w:val="none" w:sz="0" w:space="0" w:color="auto"/>
        <w:left w:val="none" w:sz="0" w:space="0" w:color="auto"/>
        <w:bottom w:val="none" w:sz="0" w:space="0" w:color="auto"/>
        <w:right w:val="none" w:sz="0" w:space="0" w:color="auto"/>
      </w:divBdr>
    </w:div>
    <w:div w:id="1743016563">
      <w:bodyDiv w:val="1"/>
      <w:marLeft w:val="0"/>
      <w:marRight w:val="0"/>
      <w:marTop w:val="0"/>
      <w:marBottom w:val="0"/>
      <w:divBdr>
        <w:top w:val="none" w:sz="0" w:space="0" w:color="auto"/>
        <w:left w:val="none" w:sz="0" w:space="0" w:color="auto"/>
        <w:bottom w:val="none" w:sz="0" w:space="0" w:color="auto"/>
        <w:right w:val="none" w:sz="0" w:space="0" w:color="auto"/>
      </w:divBdr>
      <w:divsChild>
        <w:div w:id="1356464401">
          <w:marLeft w:val="640"/>
          <w:marRight w:val="0"/>
          <w:marTop w:val="0"/>
          <w:marBottom w:val="0"/>
          <w:divBdr>
            <w:top w:val="none" w:sz="0" w:space="0" w:color="auto"/>
            <w:left w:val="none" w:sz="0" w:space="0" w:color="auto"/>
            <w:bottom w:val="none" w:sz="0" w:space="0" w:color="auto"/>
            <w:right w:val="none" w:sz="0" w:space="0" w:color="auto"/>
          </w:divBdr>
        </w:div>
        <w:div w:id="1648121763">
          <w:marLeft w:val="640"/>
          <w:marRight w:val="0"/>
          <w:marTop w:val="0"/>
          <w:marBottom w:val="0"/>
          <w:divBdr>
            <w:top w:val="none" w:sz="0" w:space="0" w:color="auto"/>
            <w:left w:val="none" w:sz="0" w:space="0" w:color="auto"/>
            <w:bottom w:val="none" w:sz="0" w:space="0" w:color="auto"/>
            <w:right w:val="none" w:sz="0" w:space="0" w:color="auto"/>
          </w:divBdr>
        </w:div>
        <w:div w:id="2061397800">
          <w:marLeft w:val="640"/>
          <w:marRight w:val="0"/>
          <w:marTop w:val="0"/>
          <w:marBottom w:val="0"/>
          <w:divBdr>
            <w:top w:val="none" w:sz="0" w:space="0" w:color="auto"/>
            <w:left w:val="none" w:sz="0" w:space="0" w:color="auto"/>
            <w:bottom w:val="none" w:sz="0" w:space="0" w:color="auto"/>
            <w:right w:val="none" w:sz="0" w:space="0" w:color="auto"/>
          </w:divBdr>
        </w:div>
        <w:div w:id="1872494946">
          <w:marLeft w:val="640"/>
          <w:marRight w:val="0"/>
          <w:marTop w:val="0"/>
          <w:marBottom w:val="0"/>
          <w:divBdr>
            <w:top w:val="none" w:sz="0" w:space="0" w:color="auto"/>
            <w:left w:val="none" w:sz="0" w:space="0" w:color="auto"/>
            <w:bottom w:val="none" w:sz="0" w:space="0" w:color="auto"/>
            <w:right w:val="none" w:sz="0" w:space="0" w:color="auto"/>
          </w:divBdr>
        </w:div>
        <w:div w:id="1207523905">
          <w:marLeft w:val="640"/>
          <w:marRight w:val="0"/>
          <w:marTop w:val="0"/>
          <w:marBottom w:val="0"/>
          <w:divBdr>
            <w:top w:val="none" w:sz="0" w:space="0" w:color="auto"/>
            <w:left w:val="none" w:sz="0" w:space="0" w:color="auto"/>
            <w:bottom w:val="none" w:sz="0" w:space="0" w:color="auto"/>
            <w:right w:val="none" w:sz="0" w:space="0" w:color="auto"/>
          </w:divBdr>
        </w:div>
        <w:div w:id="1188710920">
          <w:marLeft w:val="640"/>
          <w:marRight w:val="0"/>
          <w:marTop w:val="0"/>
          <w:marBottom w:val="0"/>
          <w:divBdr>
            <w:top w:val="none" w:sz="0" w:space="0" w:color="auto"/>
            <w:left w:val="none" w:sz="0" w:space="0" w:color="auto"/>
            <w:bottom w:val="none" w:sz="0" w:space="0" w:color="auto"/>
            <w:right w:val="none" w:sz="0" w:space="0" w:color="auto"/>
          </w:divBdr>
        </w:div>
        <w:div w:id="1204442650">
          <w:marLeft w:val="640"/>
          <w:marRight w:val="0"/>
          <w:marTop w:val="0"/>
          <w:marBottom w:val="0"/>
          <w:divBdr>
            <w:top w:val="none" w:sz="0" w:space="0" w:color="auto"/>
            <w:left w:val="none" w:sz="0" w:space="0" w:color="auto"/>
            <w:bottom w:val="none" w:sz="0" w:space="0" w:color="auto"/>
            <w:right w:val="none" w:sz="0" w:space="0" w:color="auto"/>
          </w:divBdr>
        </w:div>
        <w:div w:id="431973285">
          <w:marLeft w:val="640"/>
          <w:marRight w:val="0"/>
          <w:marTop w:val="0"/>
          <w:marBottom w:val="0"/>
          <w:divBdr>
            <w:top w:val="none" w:sz="0" w:space="0" w:color="auto"/>
            <w:left w:val="none" w:sz="0" w:space="0" w:color="auto"/>
            <w:bottom w:val="none" w:sz="0" w:space="0" w:color="auto"/>
            <w:right w:val="none" w:sz="0" w:space="0" w:color="auto"/>
          </w:divBdr>
        </w:div>
        <w:div w:id="4015232">
          <w:marLeft w:val="640"/>
          <w:marRight w:val="0"/>
          <w:marTop w:val="0"/>
          <w:marBottom w:val="0"/>
          <w:divBdr>
            <w:top w:val="none" w:sz="0" w:space="0" w:color="auto"/>
            <w:left w:val="none" w:sz="0" w:space="0" w:color="auto"/>
            <w:bottom w:val="none" w:sz="0" w:space="0" w:color="auto"/>
            <w:right w:val="none" w:sz="0" w:space="0" w:color="auto"/>
          </w:divBdr>
        </w:div>
        <w:div w:id="2117213381">
          <w:marLeft w:val="640"/>
          <w:marRight w:val="0"/>
          <w:marTop w:val="0"/>
          <w:marBottom w:val="0"/>
          <w:divBdr>
            <w:top w:val="none" w:sz="0" w:space="0" w:color="auto"/>
            <w:left w:val="none" w:sz="0" w:space="0" w:color="auto"/>
            <w:bottom w:val="none" w:sz="0" w:space="0" w:color="auto"/>
            <w:right w:val="none" w:sz="0" w:space="0" w:color="auto"/>
          </w:divBdr>
        </w:div>
        <w:div w:id="1525710720">
          <w:marLeft w:val="640"/>
          <w:marRight w:val="0"/>
          <w:marTop w:val="0"/>
          <w:marBottom w:val="0"/>
          <w:divBdr>
            <w:top w:val="none" w:sz="0" w:space="0" w:color="auto"/>
            <w:left w:val="none" w:sz="0" w:space="0" w:color="auto"/>
            <w:bottom w:val="none" w:sz="0" w:space="0" w:color="auto"/>
            <w:right w:val="none" w:sz="0" w:space="0" w:color="auto"/>
          </w:divBdr>
        </w:div>
        <w:div w:id="1156919696">
          <w:marLeft w:val="640"/>
          <w:marRight w:val="0"/>
          <w:marTop w:val="0"/>
          <w:marBottom w:val="0"/>
          <w:divBdr>
            <w:top w:val="none" w:sz="0" w:space="0" w:color="auto"/>
            <w:left w:val="none" w:sz="0" w:space="0" w:color="auto"/>
            <w:bottom w:val="none" w:sz="0" w:space="0" w:color="auto"/>
            <w:right w:val="none" w:sz="0" w:space="0" w:color="auto"/>
          </w:divBdr>
        </w:div>
        <w:div w:id="1201285010">
          <w:marLeft w:val="640"/>
          <w:marRight w:val="0"/>
          <w:marTop w:val="0"/>
          <w:marBottom w:val="0"/>
          <w:divBdr>
            <w:top w:val="none" w:sz="0" w:space="0" w:color="auto"/>
            <w:left w:val="none" w:sz="0" w:space="0" w:color="auto"/>
            <w:bottom w:val="none" w:sz="0" w:space="0" w:color="auto"/>
            <w:right w:val="none" w:sz="0" w:space="0" w:color="auto"/>
          </w:divBdr>
        </w:div>
        <w:div w:id="197015834">
          <w:marLeft w:val="640"/>
          <w:marRight w:val="0"/>
          <w:marTop w:val="0"/>
          <w:marBottom w:val="0"/>
          <w:divBdr>
            <w:top w:val="none" w:sz="0" w:space="0" w:color="auto"/>
            <w:left w:val="none" w:sz="0" w:space="0" w:color="auto"/>
            <w:bottom w:val="none" w:sz="0" w:space="0" w:color="auto"/>
            <w:right w:val="none" w:sz="0" w:space="0" w:color="auto"/>
          </w:divBdr>
        </w:div>
        <w:div w:id="1023481811">
          <w:marLeft w:val="640"/>
          <w:marRight w:val="0"/>
          <w:marTop w:val="0"/>
          <w:marBottom w:val="0"/>
          <w:divBdr>
            <w:top w:val="none" w:sz="0" w:space="0" w:color="auto"/>
            <w:left w:val="none" w:sz="0" w:space="0" w:color="auto"/>
            <w:bottom w:val="none" w:sz="0" w:space="0" w:color="auto"/>
            <w:right w:val="none" w:sz="0" w:space="0" w:color="auto"/>
          </w:divBdr>
        </w:div>
        <w:div w:id="1246181369">
          <w:marLeft w:val="640"/>
          <w:marRight w:val="0"/>
          <w:marTop w:val="0"/>
          <w:marBottom w:val="0"/>
          <w:divBdr>
            <w:top w:val="none" w:sz="0" w:space="0" w:color="auto"/>
            <w:left w:val="none" w:sz="0" w:space="0" w:color="auto"/>
            <w:bottom w:val="none" w:sz="0" w:space="0" w:color="auto"/>
            <w:right w:val="none" w:sz="0" w:space="0" w:color="auto"/>
          </w:divBdr>
        </w:div>
        <w:div w:id="2069527013">
          <w:marLeft w:val="640"/>
          <w:marRight w:val="0"/>
          <w:marTop w:val="0"/>
          <w:marBottom w:val="0"/>
          <w:divBdr>
            <w:top w:val="none" w:sz="0" w:space="0" w:color="auto"/>
            <w:left w:val="none" w:sz="0" w:space="0" w:color="auto"/>
            <w:bottom w:val="none" w:sz="0" w:space="0" w:color="auto"/>
            <w:right w:val="none" w:sz="0" w:space="0" w:color="auto"/>
          </w:divBdr>
        </w:div>
      </w:divsChild>
    </w:div>
    <w:div w:id="1747609747">
      <w:marLeft w:val="640"/>
      <w:marRight w:val="0"/>
      <w:marTop w:val="0"/>
      <w:marBottom w:val="0"/>
      <w:divBdr>
        <w:top w:val="none" w:sz="0" w:space="0" w:color="auto"/>
        <w:left w:val="none" w:sz="0" w:space="0" w:color="auto"/>
        <w:bottom w:val="none" w:sz="0" w:space="0" w:color="auto"/>
        <w:right w:val="none" w:sz="0" w:space="0" w:color="auto"/>
      </w:divBdr>
    </w:div>
    <w:div w:id="1782602163">
      <w:bodyDiv w:val="1"/>
      <w:marLeft w:val="0"/>
      <w:marRight w:val="0"/>
      <w:marTop w:val="0"/>
      <w:marBottom w:val="0"/>
      <w:divBdr>
        <w:top w:val="none" w:sz="0" w:space="0" w:color="auto"/>
        <w:left w:val="none" w:sz="0" w:space="0" w:color="auto"/>
        <w:bottom w:val="none" w:sz="0" w:space="0" w:color="auto"/>
        <w:right w:val="none" w:sz="0" w:space="0" w:color="auto"/>
      </w:divBdr>
    </w:div>
    <w:div w:id="1803108636">
      <w:marLeft w:val="640"/>
      <w:marRight w:val="0"/>
      <w:marTop w:val="0"/>
      <w:marBottom w:val="0"/>
      <w:divBdr>
        <w:top w:val="none" w:sz="0" w:space="0" w:color="auto"/>
        <w:left w:val="none" w:sz="0" w:space="0" w:color="auto"/>
        <w:bottom w:val="none" w:sz="0" w:space="0" w:color="auto"/>
        <w:right w:val="none" w:sz="0" w:space="0" w:color="auto"/>
      </w:divBdr>
    </w:div>
    <w:div w:id="1872642020">
      <w:marLeft w:val="640"/>
      <w:marRight w:val="0"/>
      <w:marTop w:val="0"/>
      <w:marBottom w:val="0"/>
      <w:divBdr>
        <w:top w:val="none" w:sz="0" w:space="0" w:color="auto"/>
        <w:left w:val="none" w:sz="0" w:space="0" w:color="auto"/>
        <w:bottom w:val="none" w:sz="0" w:space="0" w:color="auto"/>
        <w:right w:val="none" w:sz="0" w:space="0" w:color="auto"/>
      </w:divBdr>
    </w:div>
    <w:div w:id="1919512348">
      <w:marLeft w:val="640"/>
      <w:marRight w:val="0"/>
      <w:marTop w:val="0"/>
      <w:marBottom w:val="0"/>
      <w:divBdr>
        <w:top w:val="none" w:sz="0" w:space="0" w:color="auto"/>
        <w:left w:val="none" w:sz="0" w:space="0" w:color="auto"/>
        <w:bottom w:val="none" w:sz="0" w:space="0" w:color="auto"/>
        <w:right w:val="none" w:sz="0" w:space="0" w:color="auto"/>
      </w:divBdr>
    </w:div>
    <w:div w:id="2015760503">
      <w:marLeft w:val="640"/>
      <w:marRight w:val="0"/>
      <w:marTop w:val="0"/>
      <w:marBottom w:val="0"/>
      <w:divBdr>
        <w:top w:val="none" w:sz="0" w:space="0" w:color="auto"/>
        <w:left w:val="none" w:sz="0" w:space="0" w:color="auto"/>
        <w:bottom w:val="none" w:sz="0" w:space="0" w:color="auto"/>
        <w:right w:val="none" w:sz="0" w:space="0" w:color="auto"/>
      </w:divBdr>
    </w:div>
    <w:div w:id="2025325040">
      <w:bodyDiv w:val="1"/>
      <w:marLeft w:val="0"/>
      <w:marRight w:val="0"/>
      <w:marTop w:val="0"/>
      <w:marBottom w:val="0"/>
      <w:divBdr>
        <w:top w:val="none" w:sz="0" w:space="0" w:color="auto"/>
        <w:left w:val="none" w:sz="0" w:space="0" w:color="auto"/>
        <w:bottom w:val="none" w:sz="0" w:space="0" w:color="auto"/>
        <w:right w:val="none" w:sz="0" w:space="0" w:color="auto"/>
      </w:divBdr>
    </w:div>
    <w:div w:id="2116320017">
      <w:marLeft w:val="640"/>
      <w:marRight w:val="0"/>
      <w:marTop w:val="0"/>
      <w:marBottom w:val="0"/>
      <w:divBdr>
        <w:top w:val="none" w:sz="0" w:space="0" w:color="auto"/>
        <w:left w:val="none" w:sz="0" w:space="0" w:color="auto"/>
        <w:bottom w:val="none" w:sz="0" w:space="0" w:color="auto"/>
        <w:right w:val="none" w:sz="0" w:space="0" w:color="auto"/>
      </w:divBdr>
    </w:div>
    <w:div w:id="2116821446">
      <w:marLeft w:val="640"/>
      <w:marRight w:val="0"/>
      <w:marTop w:val="0"/>
      <w:marBottom w:val="0"/>
      <w:divBdr>
        <w:top w:val="none" w:sz="0" w:space="0" w:color="auto"/>
        <w:left w:val="none" w:sz="0" w:space="0" w:color="auto"/>
        <w:bottom w:val="none" w:sz="0" w:space="0" w:color="auto"/>
        <w:right w:val="none" w:sz="0" w:space="0" w:color="auto"/>
      </w:divBdr>
    </w:div>
    <w:div w:id="2133674062">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2" Type="http://schemas.openxmlformats.org/officeDocument/2006/relationships/hyperlink" Target="https://ejournal.medistra.ac.id/index.php/JFM"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CEAB74-67A4-415D-B46D-E72F255313D9}">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59560827678"/>
    <we:property name="MENDELEY_CITATIONS" value="[{&quot;citationID&quot;:&quot;MENDELEY_CITATION_a24be65d-17b3-4fac-8f8a-be7e73a835eb&quot;,&quot;properties&quot;:{&quot;noteIndex&quot;:0},&quot;isEdited&quot;:false,&quot;manualOverride&quot;:{&quot;isManuallyOverridden&quot;:false,&quot;citeprocText&quot;:&quot;[1]&quot;,&quot;manualOverrideText&quot;:&quot;&quot;},&quot;citationTag&quot;:&quot;MENDELEY_CITATION_v3_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&quot;,&quot;citationItems&quot;:[{&quot;id&quot;:&quot;2db635e8-e503-3ada-8a89-56d0aea2346a&quot;,&quot;itemData&quot;:{&quot;type&quot;:&quot;article-journal&quot;,&quot;id&quot;:&quot;2db635e8-e503-3ada-8a89-56d0aea2346a&quot;,&quot;title&quot;:&quot;Pengaruh Radikal Bebas Terhadap Proses Inflamasi pada Penyakit Paru Obstruktif Kronis (PPOK) Effect of Free Radicals on Inflammatory Process in Chronic Obstructive Pulmonary Disease (COPD)&quot;,&quot;author&quot;:[{&quot;family&quot;:&quot;Virlando Suryadinata&quot;,&quot;given&quot;:&quot;Rivan&quot;,&quot;parse-names&quot;:false,&quot;dropping-particle&quot;:&quot;&quot;,&quot;non-dropping-particle&quot;:&quot;&quot;}],&quot;DOI&quot;:&quot;10.2473/amnt.v2i4.2018.317-324&quot;,&quot;issued&quot;:{&quot;date-parts&quot;:[[2018]]},&quot;page&quot;:&quot;1-12&quot;,&quot;container-title-short&quot;:&quot;&quot;},&quot;isTemporary&quot;:false}]},{&quot;citationID&quot;:&quot;MENDELEY_CITATION_5c5dcda6-59fe-4c82-9eca-3e013f52244c&quot;,&quot;properties&quot;:{&quot;noteIndex&quot;:0},&quot;isEdited&quot;:false,&quot;manualOverride&quot;:{&quot;isManuallyOverridden&quot;:false,&quot;citeprocText&quot;:&quot;[2]&quot;,&quot;manualOverrideText&quot;:&quot;&quot;},&quot;citationTag&quot;:&quot;MENDELEY_CITATION_v3_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&quot;,&quot;citationItems&quot;:[{&quot;id&quot;:&quot;31bfbf93-5083-3705-96f0-f7640c57857e&quot;,&quot;itemData&quot;:{&quot;type&quot;:&quot;article-journal&quot;,&quot;id&quot;:&quot;31bfbf93-5083-3705-96f0-f7640c57857e&quot;,&quot;title&quot;:&quot;Acute and prolonged effects of Bacillus amyloliquefaciens GF424-derived SOD on antioxidant defense in healthy individuals challenged with intense aerobic exercise&quot;,&quot;author&quot;:[{&quot;family&quot;:&quot;Nam&quot;,&quot;given&quot;:&quot;Yea eun&quot;,&quot;parse-names&quot;:false,&quot;dropping-particle&quot;:&quot;&quot;,&quot;non-dropping-particle&quot;:&quot;&quot;},{&quot;family&quot;:&quot;Kim&quot;,&quot;given&quot;:&quot;Hye Jin&quot;,&quot;parse-names&quot;:false,&quot;dropping-particle&quot;:&quot;&quot;,&quot;non-dropping-particle&quot;:&quot;&quot;},{&quot;family&quot;:&quot;Kwon&quot;,&quot;given&quot;:&quot;Oran&quot;,&quot;parse-names&quot;:false,&quot;dropping-particle&quot;:&quot;&quot;,&quot;non-dropping-particle&quot;:&quot;&quot;}],&quot;container-title&quot;:&quot;Free Radical Biology and Medicine&quot;,&quot;container-title-short&quot;:&quot;Free Radic Biol Med&quot;,&quot;accessed&quot;:{&quot;date-parts&quot;:[[2024,12,30]]},&quot;DOI&quot;:&quot;10.1016/J.FREERADBIOMED.2024.09.015&quot;,&quot;ISSN&quot;:&quot;0891-5849&quot;,&quot;issued&quot;:{&quot;date-parts&quot;:[[2024,11,1]]},&quot;page&quot;:&quot;484-493&quot;,&quot;abstract&quot;:&quot;Reactive oxygen species (ROS) play a vital role in cellular functions but can lead to oxidative stress and contribute to degenerative diseases when produced in excess. Maintaining redox balance is essential and can be achieved through innate defense mechanisms or external antioxidants. Superoxide dismutase (SOD) is a key enzyme that mitigates intracellular oxidative stress by converting harmful free radicals into hydrogen peroxide, which is subsequently neutralized by catalase and glutathione peroxidase. Previous studies have demonstrated the antioxidant capabilities of SOD derived from Bacillus amyloquefaciens GF424 (BA-SOD) in murine models exposed to either irradiation or SOD1 gene deletion. In this study, a randomized clinical trial was conducted to evaluate the antioxidative benefits of BA-SOD in healthy individuals undergoing acute aerobic exercise (AAE). Eighty participants were randomly assigned to receive either BA-SOD or a placebo for 8 weeks. Antioxidant enzyme activities and glutathione levels were measured before, immediately after, and 30 min post-exercise. A single dose of BA-SOD significantly reduced ROS levels induced by AAE, primarily by enhancing SOD activity in erythrocytes and activating glutathione peroxidase. Continuous BA-SOD administration was associated with a sustained increase in catalase activity and elevated levels of reduced glutathione (GSH). Transcriptomic and metabolomic analyses revealed that a single BA-SOD dose facilitated GSH oxidation, as evidenced by decreased levels of serine, glutamine, and glycine, and increased pyroglutamate levels. Additionally, repeated dosing led to increased expression of genes encoding isocitrate dehydrogenase and malic enzyme, which are involved in NADPH synthesis, as well as nicotinamide phosphoribosyl transferase and NAD kinase, which are essential for NADP availability–critical for converting oxidized glutathione (GSSG) back to GSH. These molecular insights align with clinical observations, suggesting that both acute and long-term BA-SOD supplementation may effectively enhance antioxidant defenses and maintain redox balance under oxidative stress conditions.&quot;,&quot;publisher&quot;:&quot;Pergamon&quot;,&quot;volume&quot;:&quot;224&quot;},&quot;isTemporary&quot;:false}]},{&quot;citationID&quot;:&quot;MENDELEY_CITATION_fa19e8a0-5c39-4a84-82f1-656edc564ea1&quot;,&quot;properties&quot;:{&quot;noteIndex&quot;:0},&quot;isEdited&quot;:false,&quot;manualOverride&quot;:{&quot;isManuallyOverridden&quot;:false,&quot;citeprocText&quot;:&quot;[3]&quot;,&quot;manualOverrideText&quot;:&quot;&quot;},&quot;citationTag&quot;:&quot;MENDELEY_CITATION_v3_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&quot;,&quot;citationItems&quot;:[{&quot;id&quot;:&quot;bfbb6434-a38e-373e-a0e0-a611b90a8713&quot;,&quot;itemData&quot;:{&quot;type&quot;:&quot;article-journal&quot;,&quot;id&quot;:&quot;bfbb6434-a38e-373e-a0e0-a611b90a8713&quot;,&quot;title&quot;:&quot;Antibacterial carboxymethyl chitosan hydrogel loaded with antioxidant cascade enzymatic system for immunoregulating the diabetic wound microenvironment&quot;,&quot;author&quot;:[{&quot;family&quot;:&quot;Zhang&quot;,&quot;given&quot;:&quot;Weiwei&quot;,&quot;parse-names&quot;:false,&quot;dropping-particle&quot;:&quot;&quot;,&quot;non-dropping-particle&quot;:&quot;&quot;},{&quot;family&quot;:&quot;Li&quot;,&quot;given&quot;:&quot;Yuxi&quot;,&quot;parse-names&quot;:false,&quot;dropping-particle&quot;:&quot;&quot;,&quot;non-dropping-particle&quot;:&quot;&quot;},{&quot;family&quot;:&quot;Wei&quot;,&quot;given&quot;:&quot;Yixing&quot;,&quot;parse-names&quot;:false,&quot;dropping-particle&quot;:&quot;&quot;,&quot;non-dropping-particle&quot;:&quot;&quot;},{&quot;family&quot;:&quot;Jiang&quot;,&quot;given&quot;:&quot;Yuqin&quot;,&quot;parse-names&quot;:false,&quot;dropping-particle&quot;:&quot;&quot;,&quot;non-dropping-particle&quot;:&quot;&quot;},{&quot;family&quot;:&quot;Hu&quot;,&quot;given&quot;:&quot;Zhiguo&quot;,&quot;parse-names&quot;:false,&quot;dropping-particle&quot;:&quot;&quot;,&quot;non-dropping-particle&quot;:&quot;&quot;},{&quot;family&quot;:&quot;Wei&quot;,&quot;given&quot;:&quot;Qingcong&quot;,&quot;parse-names&quot;:false,&quot;dropping-particle&quot;:&quot;&quot;,&quot;non-dropping-particle&quot;:&quot;&quot;}],&quot;container-title&quot;:&quot;International Journal of Biological Macromolecules&quot;,&quot;container-title-short&quot;:&quot;Int J Biol Macromol&quot;,&quot;accessed&quot;:{&quot;date-parts&quot;:[[2024,12,30]]},&quot;DOI&quot;:&quot;10.1016/J.IJBIOMAC.2024.137539&quot;,&quot;ISSN&quot;:&quot;0141-8130&quot;,&quot;issued&quot;:{&quot;date-parts&quot;:[[2024,12,1]]},&quot;page&quot;:&quot;137539&quot;,&quot;abstract&quot;:&quot;Diabetic wound healing faces several complex challenges, such as hypoxia, oxidative stress, and bacterial infections, which severely inhibit the wound-healing process. Herein, a quaternary ammonium salt-crosslinked carboxymethyl chitosan hydrogel (TPC) with excellent antioxidant and antibacterial properties was developed to immunoregulate the diabetic wound microenvironment. The TPC hydrogel was prepared by first mixing carboxymethyl chitosan (CMCS) and protocatechualdehyde (PA), followed by the addition of a quaternary ammonium cross-linker (TSPBA) and a superoxide dismutase (SOD)–catalase (CAT) cascade system. The immobilized SOD and CAT retained their activity, continuously converting endogenous ·O2− and H2O2 to O2 and H2O. PA also provided the TPC hydrogel excellent oxygen and nitrogen radical scavenging capacity. The quaternary ammonium groups in TSPBA significantly enhanced the inherent antibacterial ability of CMCS-based hydrogels. In diabetic wound-healing experiments, this porous and adhesive TPC hydrogel effectively closed wounds and regenerated skin tissue, resulting in shorter wound edges, thicker granulation, and higher collagen deposition levels compared with other groups. The TPC hydrogel also promoted macrophage polarization toward the M2 phenotype, accelerating wound healing by upregulating IL-10 expression, downregulating IL-6 expression, and enhancing angiogenesis. These results demonstrate the great potential of TPC hydrogel as a promising therapeutic dressing for treating diabetic wounds.&quot;,&quot;publisher&quot;:&quot;Elsevier&quot;,&quot;volume&quot;:&quot;282&quot;},&quot;isTemporary&quot;:false}]},{&quot;citationID&quot;:&quot;MENDELEY_CITATION_7fe512f0-65d0-4bb2-ae67-364546c0be9b&quot;,&quot;properties&quot;:{&quot;noteIndex&quot;:0},&quot;isEdited&quot;:false,&quot;manualOverride&quot;:{&quot;isManuallyOverridden&quot;:false,&quot;citeprocText&quot;:&quot;[4]&quot;,&quot;manualOverrideText&quot;:&quot;&quot;},&quot;citationTag&quot;:&quot;MENDELEY_CITATION_v3_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&quot;,&quot;citationItems&quot;:[{&quot;id&quot;:&quot;2ad6e7ff-456d-3577-9307-877880f6d135&quot;,&quot;itemData&quot;:{&quot;type&quot;:&quot;article-journal&quot;,&quot;id&quot;:&quot;2ad6e7ff-456d-3577-9307-877880f6d135&quot;,&quot;title&quot;:&quot;Mitochondrial free radicals contribute to cigarette smoke condensate-induced impairment of oxidative phosphorylation in the skeletal muscle in situ&quot;,&quot;author&quot;:[{&quot;family&quot;:&quot;Bannon&quot;,&quot;given&quot;:&quot;Sean T.&quot;,&quot;parse-names&quot;:false,&quot;dropping-particle&quot;:&quot;&quot;,&quot;non-dropping-particle&quot;:&quot;&quot;},{&quot;family&quot;:&quot;Decker&quot;,&quot;given&quot;:&quot;Stephen T.&quot;,&quot;parse-names&quot;:false,&quot;dropping-particle&quot;:&quot;&quot;,&quot;non-dropping-particle&quot;:&quot;&quot;},{&quot;family&quot;:&quot;Erol&quot;,&quot;given&quot;:&quot;Muhammet Enes&quot;,&quot;parse-names&quot;:false,&quot;dropping-particle&quot;:&quot;&quot;,&quot;non-dropping-particle&quot;:&quot;&quot;},{&quot;family&quot;:&quot;Fan&quot;,&quot;given&quot;:&quot;Rong&quot;,&quot;parse-names&quot;:false,&quot;dropping-particle&quot;:&quot;&quot;,&quot;non-dropping-particle&quot;:&quot;&quot;},{&quot;family&quot;:&quot;Huang&quot;,&quot;given&quot;:&quot;Yu Ting&quot;,&quot;parse-names&quot;:false,&quot;dropping-particle&quot;:&quot;&quot;,&quot;non-dropping-particle&quot;:&quot;&quot;},{&quot;family&quot;:&quot;Chung&quot;,&quot;given&quot;:&quot;Soonkyu&quot;,&quot;parse-names&quot;:false,&quot;dropping-particle&quot;:&quot;&quot;,&quot;non-dropping-particle&quot;:&quot;&quot;},{&quot;family&quot;:&quot;Layec&quot;,&quot;given&quot;:&quot;Gwenael&quot;,&quot;parse-names&quot;:false,&quot;dropping-particle&quot;:&quot;&quot;,&quot;non-dropping-particle&quot;:&quot;&quot;}],&quot;container-title&quot;:&quot;Free Radical Biology and Medicine&quot;,&quot;container-title-short&quot;:&quot;Free Radic Biol Med&quot;,&quot;accessed&quot;:{&quot;date-parts&quot;:[[2024,12,30]]},&quot;DOI&quot;:&quot;10.1016/J.FREERADBIOMED.2024.08.024&quot;,&quot;ISSN&quot;:&quot;0891-5849&quot;,&quot;PMID&quot;:&quot;39178923&quot;,&quot;issued&quot;:{&quot;date-parts&quot;:[[2024,11,1]]},&quot;page&quot;:&quot;325-334&quot;,&quot;abstract&quot;:&quot;Oxidative stress plays a critical role in cellular dysfunction associated with cigarette smoke exposure and aging. Some chemicals from tobacco smoke have the potential to amplify mitochondrial ROS (mROS) production, which, in turn, may impair mitochondrial respiratory function. Accordingly, the present study tested the hypothesis that a mitochondria-targeted antioxidant (MitoTEMPO, MT) would attenuate the inhibitory effects of cigarette smoke on skeletal muscle respiratory capacity of middle-aged mice. Specifically, mitochondrial oxidative phosphorylation was assessed using high-resolution respirometry in permeabilized fibers from the fast-twitch gastrocnemius muscle of middle-aged C57Bl/6J mice. Before the assessment of respiration, tissues were incubated for 1hr with a control buffer (CON), cigarette smoke condensate (2 % dilution, SMOKE), or MitoTEMPO (10 μM) combined with cigarette smoke condensate (MT + SMOKE). Cigarette smoke condensate (CSC) decreased maximal-ADP stimulated respiration (CON: 60 ± 15 pmolO2.s−1.mg−1 and SMOKE: 33 ± 8 pmolO2.s−1.mg−1; p = 0.0001), and this effect was attenuated by MT (MT + SMOKE: 41 ± 7 pmolO2.s−1.mg−1; p = 0.02 with SMOKE). Complex-I specific respiration was inhibited by CSC, with no significant effect of MT (p = 0.35). Unlike CON, the addition of glutamate (ΔGlutamate) had an additive effect on respiration in fibers exposed to CSC (CON: 0.9 ± 1.1 pmolO2.s−1.mg−1 and SMOKE: 5.4 ± 3.7 pmolO2.s−1.mg−1; p = 0.008) and MT (MT + SMOKE: 8.2 ± 3.8 pmolO2.s−1.mg−1; p ≤ 0.01). Complex-II specific respiration was inhibited by CSC but was partially restored by MT (p = 0.04 with SMOKE). Maximal uncoupled respiration induced by FCCP was inhibited by CSC, with no significant effect of MT. These findings underscore that mROS contributes to cigarette smoke condensate-induced inhibition of mitochondrial respiration in fast-twitch gastrocnemius muscle fibers of middle-aged mice thus providing a potential target for therapeutic treatment of smoke-related diseases. In addition, this study revealed that CSC largely impaired muscle respiratory capacity by decreasing metabolic flux through mitochondrial pyruvate transporter (MPC) and/or the enzymes upstream of α-ketoglutarate in the Krebs cycle.&quot;,&quot;publisher&quot;:&quot;Pergamon&quot;,&quot;volume&quot;:&quot;224&quot;},&quot;isTemporary&quot;:false}]},{&quot;citationID&quot;:&quot;MENDELEY_CITATION_0e366cff-f331-41c0-b7ca-0b195ab59d4d&quot;,&quot;properties&quot;:{&quot;noteIndex&quot;:0},&quot;isEdited&quot;:false,&quot;manualOverride&quot;:{&quot;isManuallyOverridden&quot;:false,&quot;citeprocText&quot;:&quot;[5]&quot;,&quot;manualOverrideText&quot;:&quot;&quot;},&quot;citationTag&quot;:&quot;MENDELEY_CITATION_v3_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&quot;,&quot;citationItems&quot;:[{&quot;id&quot;:&quot;b11fa8df-977b-3fe6-91e5-653c11556bd1&quot;,&quot;itemData&quot;:{&quot;type&quot;:&quot;article-journal&quot;,&quot;id&quot;:&quot;b11fa8df-977b-3fe6-91e5-653c11556bd1&quot;,&quot;title&quot;:&quot;A comprehensive review of the electrochemical advanced oxidation processes: Detection of free radical, electrode materials and application&quot;,&quot;author&quot;:[{&quot;family&quot;:&quot;Zhang&quot;,&quot;given&quot;:&quot;Longyu&quot;,&quot;parse-names&quot;:false,&quot;dropping-particle&quot;:&quot;&quot;,&quot;non-dropping-particle&quot;:&quot;&quot;},{&quot;family&quot;:&quot;Peng&quot;,&quot;given&quot;:&quot;Weijun&quot;,&quot;parse-names&quot;:false,&quot;dropping-particle&quot;:&quot;&quot;,&quot;non-dropping-particle&quot;:&quot;&quot;},{&quot;family&quot;:&quot;Wang&quot;,&quot;given&quot;:&quot;Wei&quot;,&quot;parse-names&quot;:false,&quot;dropping-particle&quot;:&quot;&quot;,&quot;non-dropping-particle&quot;:&quot;&quot;},{&quot;family&quot;:&quot;Cao&quot;,&quot;given&quot;:&quot;Yijun&quot;,&quot;parse-names&quot;:false,&quot;dropping-particle&quot;:&quot;&quot;,&quot;non-dropping-particle&quot;:&quot;&quot;},{&quot;family&quot;:&quot;Fan&quot;,&quot;given&quot;:&quot;Guixia&quot;,&quot;parse-names&quot;:false,&quot;dropping-particle&quot;:&quot;&quot;,&quot;non-dropping-particle&quot;:&quot;&quot;},{&quot;family&quot;:&quot;Huang&quot;,&quot;given&quot;:&quot;Yukun&quot;,&quot;parse-names&quot;:false,&quot;dropping-particle&quot;:&quot;&quot;,&quot;non-dropping-particle&quot;:&quot;&quot;},{&quot;family&quot;:&quot;Qi&quot;,&quot;given&quot;:&quot;Mengyao&quot;,&quot;parse-names&quot;:false,&quot;dropping-particle&quot;:&quot;&quot;,&quot;non-dropping-particle&quot;:&quot;&quot;}],&quot;container-title&quot;:&quot;Journal of Environmental Chemical Engineering&quot;,&quot;container-title-short&quot;:&quot;J Environ Chem Eng&quot;,&quot;accessed&quot;:{&quot;date-parts&quot;:[[2024,12,30]]},&quot;DOI&quot;:&quot;10.1016/J.JECE.2024.113778&quot;,&quot;ISSN&quot;:&quot;2213-3437&quot;,&quot;issued&quot;:{&quot;date-parts&quot;:[[2024,10,1]]},&quot;page&quot;:&quot;113778&quot;,&quot;abstract&quot;:&quot;Electrochemical advanced oxidation processes (EAOPs) are particularly notable for their environmental friendliness, efficiency, and lack of secondary contamination. These approaches are primarily founded on the electrochemical production of powerful oxidants, exemplified by ·OH, ·O2-, 1O2 and SO4·−. The article commences with a thorough review of the process mechanisms of EAOPs, followed by a detailed summary of the common free radical detection methods utilized in EAOPs. Subsequently, we examine the prevalent non-active anode materials in EAOPs (BDD, SnO2, PbO2), as well as the particle electrodes in solution, encompassing their preparation methods and respective performances. In addition, the application of EAOPs in the removal of organic and inorganic pollutants, desulfurization of coal and minerals, and sludge treatment was also summarized. Finally, certain limitations of EAOPs research are presented, along with some recommendations for future development.&quot;,&quot;publisher&quot;:&quot;Elsevier&quot;,&quot;issue&quot;:&quot;5&quot;,&quot;volume&quot;:&quot;12&quot;},&quot;isTemporary&quot;:false}]},{&quot;citationID&quot;:&quot;MENDELEY_CITATION_9df3c1d4-2cef-4727-967b-67efb5656599&quot;,&quot;properties&quot;:{&quot;noteIndex&quot;:0},&quot;isEdited&quot;:false,&quot;manualOverride&quot;:{&quot;isManuallyOverridden&quot;:false,&quot;citeprocText&quot;:&quot;[6]&quot;,&quot;manualOverrideText&quot;:&quot;&quot;},&quot;citationTag&quot;:&quot;MENDELEY_CITATION_v3_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&quot;,&quot;citationItems&quot;:[{&quot;id&quot;:&quot;8b2663c5-ce37-3569-a199-cde36bdef603&quot;,&quot;itemData&quot;:{&quot;type&quot;:&quot;article-journal&quot;,&quot;id&quot;:&quot;8b2663c5-ce37-3569-a199-cde36bdef603&quot;,&quot;title&quot;:&quot;MP-03.06: Oxalate-induced nadph oxidase mediated free radical generation is protein kinase C-dependent in renal epithelial cells&quot;,&quot;author&quot;:[{&quot;family&quot;:&quot;Thamilselvan&quot;,&quot;given&quot;:&quot;V.&quot;,&quot;parse-names&quot;:false,&quot;dropping-particle&quot;:&quot;&quot;,&quot;non-dropping-particle&quot;:&quot;&quot;},{&quot;family&quot;:&quot;Menon&quot;,&quot;given&quot;:&quot;M.&quot;,&quot;parse-names&quot;:false,&quot;dropping-particle&quot;:&quot;&quot;,&quot;non-dropping-particle&quot;:&quot;&quot;},{&quot;family&quot;:&quot;Thamilselvan&quot;,&quot;given&quot;:&quot;S.&quot;,&quot;parse-names&quot;:false,&quot;dropping-particle&quot;:&quot;&quot;,&quot;non-dropping-particle&quot;:&quot;&quot;}],&quot;container-title&quot;:&quot;Urology&quot;,&quot;container-title-short&quot;:&quot;Urology&quot;,&quot;accessed&quot;:{&quot;date-parts&quot;:[[2024,12,30]]},&quot;DOI&quot;:&quot;10.1016/J.UROLOGY.2007.06.211&quot;,&quot;ISSN&quot;:&quot;0090-4295&quot;,&quot;issued&quot;:{&quot;date-parts&quot;:[[2007,9,1]]},&quot;page&quot;:&quot;53-54&quot;,&quot;publisher&quot;:&quot;Elsevier&quot;,&quot;issue&quot;:&quot;3&quot;,&quot;volume&quot;:&quot;70&quot;},&quot;isTemporary&quot;:false}]},{&quot;citationID&quot;:&quot;MENDELEY_CITATION_9fc26d68-d974-4a24-aa5f-e1e220293921&quot;,&quot;properties&quot;:{&quot;noteIndex&quot;:0},&quot;isEdited&quot;:false,&quot;manualOverride&quot;:{&quot;isManuallyOverridden&quot;:false,&quot;citeprocText&quot;:&quot;[7]&quot;,&quot;manualOverrideText&quot;:&quot;&quot;},&quot;citationTag&quot;:&quot;MENDELEY_CITATION_v3_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&quot;,&quot;citationItems&quot;:[{&quot;id&quot;:&quot;9ca66253-b25b-329a-be34-e84952c47b0e&quot;,&quot;itemData&quot;:{&quot;type&quot;:&quot;article-journal&quot;,&quot;id&quot;:&quot;9ca66253-b25b-329a-be34-e84952c47b0e&quot;,&quot;title&quot;:&quot;Smoking Status Effect on Inflammatory Markers in a Randomized Trial of Current and Former Heavy Smokers&quot;,&quot;author&quot;:[{&quot;family&quot;:&quot;Aldaham&quot;,&quot;given&quot;:&quot;Sami&quot;,&quot;parse-names&quot;:false,&quot;dropping-particle&quot;:&quot;&quot;,&quot;non-dropping-particle&quot;:&quot;&quot;},{&quot;family&quot;:&quot;Foote&quot;,&quot;given&quot;:&quot;Janet A.&quot;,&quot;parse-names&quot;:false,&quot;dropping-particle&quot;:&quot;&quot;,&quot;non-dropping-particle&quot;:&quot;&quot;},{&quot;family&quot;:&quot;Chow&quot;,&quot;given&quot;:&quot;H. H.Sherry&quot;,&quot;parse-names&quot;:false,&quot;dropping-particle&quot;:&quot;&quot;,&quot;non-dropping-particle&quot;:&quot;&quot;},{&quot;family&quot;:&quot;Hakim&quot;,&quot;given&quot;:&quot;Iman A.&quot;,&quot;parse-names&quot;:false,&quot;dropping-particle&quot;:&quot;&quot;,&quot;non-dropping-particle&quot;:&quot;&quot;}],&quot;container-title&quot;:&quot;International Journal of Inflammation&quot;,&quot;container-title-short&quot;:&quot;Int J Inflam&quot;,&quot;DOI&quot;:&quot;10.1155/2015/439396&quot;,&quot;ISSN&quot;:&quot;20420099&quot;,&quot;issued&quot;:{&quot;date-parts&quot;:[[2015]]},&quot;abstract&quot;:&quot;Background. The level of systemic inflammation as measured by circulating levels of C-reactive protein (CRP) and interleukin-6 (IL-6) is linked to an increased risk for cardiovascular diseases (CVD) and cancer. Methods. We recruited 154 current and former smokers between 40 and 80 years of age with 25 or more pack-years of smoking history to study the relationship between inflammatory markers (CRP and IL-6) and smoking status. Results. Our results show that male smokers had significantly higher levels of serum IL-6 compared to male former smokers. We did not find any gender specific differences for smoking and CRP levels but the IL-6 levels were slightly lower in females compared to males. Additionally, our results show that CRP is significantly associated with IL-6 regardless of smoking status. Modelling indicates that the significant predictors of CRP levels were biomarkers of the metabolic syndrome while the significant predictors of IL-6 levels were age and plasma triglycerides among former smokers and the numbers of smoked packs of cigarettes per year among smokers. Conclusions. In conclusion, our study showed that CRP levels were not associated with markers of smoking intensity. However, IL-6 levels were significantly associated with smoking especially among current smokers.&quot;,&quot;publisher&quot;:&quot;Hindawi Limited&quot;,&quot;volume&quot;:&quot;2015&quot;},&quot;isTemporary&quot;:false}]},{&quot;citationID&quot;:&quot;MENDELEY_CITATION_48eba39b-5637-48a7-84bc-025154a16132&quot;,&quot;properties&quot;:{&quot;noteIndex&quot;:0},&quot;isEdited&quot;:false,&quot;manualOverride&quot;:{&quot;isManuallyOverridden&quot;:false,&quot;citeprocText&quot;:&quot;[8]&quot;,&quot;manualOverrideText&quot;:&quot;&quot;},&quot;citationTag&quot;:&quot;MENDELEY_CITATION_v3_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&quot;,&quot;citationItems&quot;:[{&quot;id&quot;:&quot;296303dc-840f-317c-b615-86ca3b665af2&quot;,&quot;itemData&quot;:{&quot;type&quot;:&quot;article-journal&quot;,&quot;id&quot;:&quot;296303dc-840f-317c-b615-86ca3b665af2&quot;,&quot;title&quot;:&quot;Carbon monoxide releasing molecule-2 attenuates angiotensin II-induced IL-6/Jak2/Stat3-associated inflammation by inhibiting NADPH oxidase- and mitochondria-derived ROS in human aortic smooth muscle cells&quot;,&quot;author&quot;:[{&quot;family&quot;:&quot;Hsu&quot;,&quot;given&quot;:&quot;Chien Yi&quot;,&quot;parse-names&quot;:false,&quot;dropping-particle&quot;:&quot;&quot;,&quot;non-dropping-particle&quot;:&quot;&quot;},{&quot;family&quot;:&quot;Vo&quot;,&quot;given&quot;:&quot;Thi Thuy Tien&quot;,&quot;parse-names&quot;:false,&quot;dropping-particle&quot;:&quot;&quot;,&quot;non-dropping-particle&quot;:&quot;&quot;},{&quot;family&quot;:&quot;Lee&quot;,&quot;given&quot;:&quot;Chiang Wen&quot;,&quot;parse-names&quot;:false,&quot;dropping-particle&quot;:&quot;&quot;,&quot;non-dropping-particle&quot;:&quot;&quot;},{&quot;family&quot;:&quot;Chen&quot;,&quot;given&quot;:&quot;Yuh Lien&quot;,&quot;parse-names&quot;:false,&quot;dropping-particle&quot;:&quot;&quot;,&quot;non-dropping-particle&quot;:&quot;&quot;},{&quot;family&quot;:&quot;Lin&quot;,&quot;given&quot;:&quot;Wei Ning&quot;,&quot;parse-names&quot;:false,&quot;dropping-particle&quot;:&quot;&quot;,&quot;non-dropping-particle&quot;:&quot;&quot;},{&quot;family&quot;:&quot;Cheng&quot;,&quot;given&quot;:&quot;Hsin Chung&quot;,&quot;parse-names&quot;:false,&quot;dropping-particle&quot;:&quot;&quot;,&quot;non-dropping-particle&quot;:&quot;&quot;},{&quot;family&quot;:&quot;Vo&quot;,&quot;given&quot;:&quot;Quang Canh&quot;,&quot;parse-names&quot;:false,&quot;dropping-particle&quot;:&quot;&quot;,&quot;non-dropping-particle&quot;:&quot;&quot;},{&quot;family&quot;:&quot;Lee&quot;,&quot;given&quot;:&quot;I. Ta&quot;,&quot;parse-names&quot;:false,&quot;dropping-particle&quot;:&quot;&quot;,&quot;non-dropping-particle&quot;:&quot;&quot;}],&quot;container-title&quot;:&quot;Biochemical Pharmacology&quot;,&quot;container-title-short&quot;:&quot;Biochem Pharmacol&quot;,&quot;accessed&quot;:{&quot;date-parts&quot;:[[2024,12,30]]},&quot;DOI&quot;:&quot;10.1016/J.BCP.2022.114978&quot;,&quot;ISSN&quot;:&quot;0006-2952&quot;,&quot;PMID&quot;:&quot;35218740&quot;,&quot;issued&quot;:{&quot;date-parts&quot;:[[2022,4,1]]},&quot;page&quot;:&quot;114978&quot;,&quot;abstract&quot;:&quot;Abdominal aortic aneurysm (AAA) is a common inflammatory vascular disease. Angiotensin II (Ang II) involves in AAA progression by promoting the proliferation and migration of vascular smooth muscle cells, the degradation of extracellular matrices, and the generation of ROS to lead to vascular inflammation. Carbon monoxide releasing molecule-2 (CORM-2) is known to exert anti-inflammatory and antioxidant activities. However, it remains unclear whether CORM-2 can suppress Ang II-induced vascular inflammation to prevent AAA progression. Therefore, this study aimed to investigate the vasoprotective effects of CORM-2 against Ang II-induced inflammatory responses of human aortic smooth muscle cells (HASMCs) and the underlying mechanisms of those effects. The results showed that Ang II induced inflammatory responses of HASMCs via NADPH oxidase- and mitochondria-derived ROS/NF-κB/IL-6/Jak2/Stat3 pathway which was attenuated by the pretreatment with CORM-2. Additionally, CORM-2 further exhibited anti-inflammatory activities in Ang II-stimulated HASMCs, as indicated by the reduction of monocyte adhesion to HASMCs and migration of HASMCs via the suppression of ICAM-1 and VCAM-1 as well as MMP-2 and MMP-9 levels, respectively. Moreover, Ang II-induced COX-2-mediated PGE2 secretion was also inhibited by the pretreatment with CORM-2. Importantly, our data demonstrated that CORM-2 reversed Ang II-induced IL-6 overexpression dependent on Nrf2 activation and HO-1 expression. Taken together, the present study indicates that CORM-2-induced Nrf2/HO-1 alleviates IL-6/Jak2/Stat3-mediated inflammatory responses to Ang II by inhibiting NADPH oxidase- and mitochondria-derived ROS, suggesting that CORM-2 is a promising pharmacologic candidate to reverse the pathological changes involved in the inflammation of vessel wall for the prevention and treatment of AAA.&quot;,&quot;publisher&quot;:&quot;Elsevier&quot;,&quot;volume&quot;:&quot;198&quot;},&quot;isTemporary&quot;:false}]},{&quot;citationID&quot;:&quot;MENDELEY_CITATION_e6e704ed-523d-4b94-ad7a-9bc87c7bbff2&quot;,&quot;properties&quot;:{&quot;noteIndex&quot;:0},&quot;isEdited&quot;:false,&quot;manualOverride&quot;:{&quot;isManuallyOverridden&quot;:false,&quot;citeprocText&quot;:&quot;[9]&quot;,&quot;manualOverrideText&quot;:&quot;&quot;},&quot;citationTag&quot;:&quot;MENDELEY_CITATION_v3_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&quot;,&quot;citationItems&quot;:[{&quot;id&quot;:&quot;3344821c-8406-36d8-8375-ffe1af4c8d3f&quot;,&quot;itemData&quot;:{&quot;type&quot;:&quot;article-journal&quot;,&quot;id&quot;:&quot;3344821c-8406-36d8-8375-ffe1af4c8d3f&quot;,&quot;title&quot;:&quot;The influence of cigarette smoking on blood and salivary super oxide dismutase enzyme levels among smokers and nonsmokersdA cross sectional study&quot;,&quot;author&quot;:[{&quot;family&quot;:&quot;Jenifer&quot;,&quot;given&quot;:&quot;Haziel Diana&quot;,&quot;parse-names&quot;:false,&quot;dropping-particle&quot;:&quot;&quot;,&quot;non-dropping-particle&quot;:&quot;&quot;},{&quot;family&quot;:&quot;Bhola&quot;,&quot;given&quot;:&quot;Sarthak&quot;,&quot;parse-names&quot;:false,&quot;dropping-particle&quot;:&quot;&quot;,&quot;non-dropping-particle&quot;:&quot;&quot;},{&quot;family&quot;:&quot;Kalburgi&quot;,&quot;given&quot;:&quot;Veena&quot;,&quot;parse-names&quot;:false,&quot;dropping-particle&quot;:&quot;&quot;,&quot;non-dropping-particle&quot;:&quot;&quot;},{&quot;family&quot;:&quot;Warad&quot;,&quot;given&quot;:&quot;Shivaraj&quot;,&quot;parse-names&quot;:false,&quot;dropping-particle&quot;:&quot;&quot;,&quot;non-dropping-particle&quot;:&quot;&quot;},{&quot;family&quot;:&quot;Kokatnur&quot;,&quot;given&quot;:&quot;Vijayalaxmi M.&quot;,&quot;parse-names&quot;:false,&quot;dropping-particle&quot;:&quot;&quot;,&quot;non-dropping-particle&quot;:&quot;&quot;}],&quot;container-title&quot;:&quot;Journal of Traditional and Complementary Medicine&quot;,&quot;container-title-short&quot;:&quot;J Tradit Complement Med&quot;,&quot;DOI&quot;:&quot;10.1016/j.jtcme.2014.11.003&quot;,&quot;ISSN&quot;:&quot;22254110&quot;,&quot;issued&quot;:{&quot;date-parts&quot;:[[2015,4,1]]},&quot;page&quot;:&quot;100-105&quot;,&quot;abstract&quot;:&quot;To determine the influence of smoking on blood and salivary superoxide dismutase enzyme levels among smokers, and to demonstrate the significant alterations in the levels of superoxide dismutase in association with patient age, periodontal disease status, smoking duration, and smoking frequency. This study also aimed to evaluate the use of saliva as a biological fluid for disease diagnosis. Ninety males aged 25e56 years were selected and included 30 smokers, 30 nonsmokers with chronic periodontitis, and 30 healthy controls. Clinical parameters such as the gingival index, pocket depth, and clinical attachment loss were recorded. Blood and saliva samples were collected and superoxide dismutase enzyme levels were analyzed using spectrophotometric assay. Superoxide dismutase enzyme levels in the blood and saliva were significantly higher in smokers than in nonsmokers and the controls (p &lt; 0.05). A significant correlation existed between superoxide dismutase levels and clinical parameters. There was also a significant positive correlation between blood and salivary superoxide dismutase levels among the three groups. Systemic and local antioxidant status is affected by periodontal disease and by the impact of smoking. The increased blood and salivary superoxide dismutase enzyme levels in smokers may be an adaptive defense mechanism to counteract the increased reactive oxygen species production induced by smoking. This study emphasizes the importance of saliva as an easy noninvasive tool in diagnosing patients who are more prone to precancerous lesions and conditions, and its importance in patient education and motivation programs for smoking cessation.&quot;,&quot;publisher&quot;:&quot;National Taiwan University&quot;,&quot;issue&quot;:&quot;2&quot;,&quot;volume&quot;:&quot;5&quot;},&quot;isTemporary&quot;:false}]},{&quot;citationID&quot;:&quot;MENDELEY_CITATION_841f0299-2af0-4b94-a3eb-7de18aa62ed9&quot;,&quot;properties&quot;:{&quot;noteIndex&quot;:0},&quot;isEdited&quot;:false,&quot;manualOverride&quot;:{&quot;isManuallyOverridden&quot;:false,&quot;citeprocText&quot;:&quot;[10]&quot;,&quot;manualOverrideText&quot;:&quot;&quot;},&quot;citationTag&quot;:&quot;MENDELEY_CITATION_v3_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&quot;,&quot;citationItems&quot;:[{&quot;id&quot;:&quot;ea18c9f3-23f6-378e-b99b-0fcff0c990db&quot;,&quot;itemData&quot;:{&quot;type&quot;:&quot;article-journal&quot;,&quot;id&quot;:&quot;ea18c9f3-23f6-378e-b99b-0fcff0c990db&quot;,&quot;title&quot;:&quot;Induction of COX-2/PGE2/IL-6 is crucial for cigarette smoke extract-induced airway inflammation: Role of TLR4-dependent NADPH oxidase activation&quot;,&quot;author&quot;:[{&quot;family&quot;:&quot;Lin&quot;,&quot;given&quot;:&quot;Chih Chung&quot;,&quot;parse-names&quot;:false,&quot;dropping-particle&quot;:&quot;&quot;,&quot;non-dropping-particle&quot;:&quot;&quot;},{&quot;family&quot;:&quot;Lee&quot;,&quot;given&quot;:&quot;I. Ta&quot;,&quot;parse-names&quot;:false,&quot;dropping-particle&quot;:&quot;&quot;,&quot;non-dropping-particle&quot;:&quot;&quot;},{&quot;family&quot;:&quot;Yang&quot;,&quot;given&quot;:&quot;Ya Lin&quot;,&quot;parse-names&quot;:false,&quot;dropping-particle&quot;:&quot;&quot;,&quot;non-dropping-particle&quot;:&quot;&quot;},{&quot;family&quot;:&quot;Lee&quot;,&quot;given&quot;:&quot;Chiang Wen&quot;,&quot;parse-names&quot;:false,&quot;dropping-particle&quot;:&quot;&quot;,&quot;non-dropping-particle&quot;:&quot;&quot;},{&quot;family&quot;:&quot;Kou&quot;,&quot;given&quot;:&quot;Yu Ru&quot;,&quot;parse-names&quot;:false,&quot;dropping-particle&quot;:&quot;&quot;,&quot;non-dropping-particle&quot;:&quot;&quot;},{&quot;family&quot;:&quot;Yang&quot;,&quot;given&quot;:&quot;Chuen Mao&quot;,&quot;parse-names&quot;:false,&quot;dropping-particle&quot;:&quot;&quot;,&quot;non-dropping-particle&quot;:&quot;&quot;}],&quot;container-title&quot;:&quot;Free Radical Biology and Medicine&quot;,&quot;container-title-short&quot;:&quot;Free Radic Biol Med&quot;,&quot;accessed&quot;:{&quot;date-parts&quot;:[[2024,12,30]]},&quot;DOI&quot;:&quot;10.1016/J.FREERADBIOMED.2009.10.047&quot;,&quot;ISSN&quot;:&quot;0891-5849&quot;,&quot;PMID&quot;:&quot;19892012&quot;,&quot;issued&quot;:{&quot;date-parts&quot;:[[2010,1,15]]},&quot;page&quot;:&quot;240-254&quot;,&quot;abstract&quot;:&quot;Exposure to cigarette smoke extract (CSE) leads to airway and lung inflammation through an oxidant-antioxidant imbalance. Cyclooxygenase-2 (COX-2) and prostaglandin E2 (PGE2) have been shown to play critical roles in respiratory inflammation. Here, we show that COX-2/PGE2/IL-6 induction is dependent on Toll-like receptor 4 (TLR4)/NADPH oxidase signaling in human tracheal smooth muscle cells (HTSMCs). CSE induced COX-2 expression in vitro in HTSMCs and in vivo in the airways of mice. CSE also directly caused an increase in TLR4. Moreover, CSE-regulated COX-2, PGE2, and IL-6 generation was inhibited by pretreatment with TLR4 Ab; inhibitors of c-Src (PP1), NADPH oxidase (diphenylene iodonium chloride and apocynin), p38 MAPK (SB202190), MEK1/2 (U0126), JNK1/2 (SP600125), and NF-κB (helenalin); a ROS scavenger (N-acetyl-l-cysteine); and transfection with siRNA of TLR4, MyD88, TRAF6, Src, p47phox, p38, p42, JNK2, or p65. CSE-induced leukocyte numbers in BAL fluid were also reduced by pretreatment with these inhibitors. Furthermore, CSE induced p47phox translocation and TLR4/MyD88/TRAF6 and c-Src/p47phox complex formation. We found that PGE2 enhanced IL-6 production in HTSMCs and leukocyte count in BAL fluid. In addition, treatment with nicotine could induce COX-2, PGE2, and IL-6 generation in in vivo and in vitro studies. These results demonstrate that CSE-induced ROS generation was mediated through the TLR4/MyD88/TRAF6/c-Src/NADPH oxidase pathway, in turn initiated the activation of MAPKs and NF-κB, and ultimately induced COX-2/PGE2/IL-6-dependent airway inflammation. © 2009 Elsevier Inc. All rights reserved.&quot;,&quot;publisher&quot;:&quot;Pergamon&quot;,&quot;issue&quot;:&quot;2&quot;,&quot;volume&quot;:&quot;48&quot;},&quot;isTemporary&quot;:false}]},{&quot;citationID&quot;:&quot;MENDELEY_CITATION_25237b5a-dbf0-45c3-8936-21930ef2e0ae&quot;,&quot;properties&quot;:{&quot;noteIndex&quot;:0},&quot;isEdited&quot;:false,&quot;manualOverride&quot;:{&quot;isManuallyOverridden&quot;:false,&quot;citeprocText&quot;:&quot;[11]&quot;,&quot;manualOverrideText&quot;:&quot;&quot;},&quot;citationTag&quot;:&quot;MENDELEY_CITATION_v3_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&quot;,&quot;citationItems&quot;:[{&quot;id&quot;:&quot;171e4164-3833-34d4-8570-3d32abc765e5&quot;,&quot;itemData&quot;:{&quot;type&quot;:&quot;article-journal&quot;,&quot;id&quot;:&quot;171e4164-3833-34d4-8570-3d32abc765e5&quot;,&quot;title&quot;:&quot;Clinical and radiographic periodontal status and whole salivary cotinine, IL-1β and IL-6 levels in cigarette- and waterpipe-smokers and E-cig users&quot;,&quot;author&quot;:[{&quot;family&quot;:&quot;Mokeem&quot;,&quot;given&quot;:&quot;Sameer A.&quot;,&quot;parse-names&quot;:false,&quot;dropping-particle&quot;:&quot;&quot;,&quot;non-dropping-particle&quot;:&quot;&quot;},{&quot;family&quot;:&quot;Alasqah&quot;,&quot;given&quot;:&quot;Mohammed N.&quot;,&quot;parse-names&quot;:false,&quot;dropping-particle&quot;:&quot;&quot;,&quot;non-dropping-particle&quot;:&quot;&quot;},{&quot;family&quot;:&quot;Michelogiannakis&quot;,&quot;given&quot;:&quot;Dimitrios&quot;,&quot;parse-names&quot;:false,&quot;dropping-particle&quot;:&quot;&quot;,&quot;non-dropping-particle&quot;:&quot;&quot;},{&quot;family&quot;:&quot;Al-Kheraif&quot;,&quot;given&quot;:&quot;Abdulaziz A.&quot;,&quot;parse-names&quot;:false,&quot;dropping-particle&quot;:&quot;&quot;,&quot;non-dropping-particle&quot;:&quot;&quot;},{&quot;family&quot;:&quot;Romanos&quot;,&quot;given&quot;:&quot;Georgios E.&quot;,&quot;parse-names&quot;:false,&quot;dropping-particle&quot;:&quot;&quot;,&quot;non-dropping-particle&quot;:&quot;&quot;},{&quot;family&quot;:&quot;Javed&quot;,&quot;given&quot;:&quot;Fawad&quot;,&quot;parse-names&quot;:false,&quot;dropping-particle&quot;:&quot;&quot;,&quot;non-dropping-particle&quot;:&quot;&quot;}],&quot;container-title&quot;:&quot;Environmental Toxicology and Pharmacology&quot;,&quot;container-title-short&quot;:&quot;Environ Toxicol Pharmacol&quot;,&quot;accessed&quot;:{&quot;date-parts&quot;:[[2024,12,30]]},&quot;DOI&quot;:&quot;10.1016/J.ETAP.2018.05.016&quot;,&quot;ISSN&quot;:&quot;1382-6689&quot;,&quot;PMID&quot;:&quot;29843053&quot;,&quot;issued&quot;:{&quot;date-parts&quot;:[[2018,7,1]]},&quot;page&quot;:&quot;38-43&quot;,&quot;abstract&quot;:&quot;The aim was to compare the clinical (plaque index [PI], bleeding on probing [BOP], probing pocket depth [PPD] and clinical attachment loss [CAL]) and radiographic (marginal bone loss [MBL]) periodontal parameters and whole salivary cotinine, interleukin (IL)-1β and IL-6 levels among cigarette-smokers, waterpipe-smokers, E-cig users and never-smokers. In total, 154 male individuals (39 cigarette-smokers, 40 waterpipe-smokers, 37 E-cig users and 38 never-smokers) were included. Full mouth PI, BOP, PPD and CAL were measured on all teeth (excluding third molars); and MBL was measured in digital intra-oral radiographs. Unstimulated whole salivary flow rate (UWSFR) and whole salivary cotinine, IL-1β and IL-6 levels were measured. Group comparisons were performed using one way analysis of variance and Bonferroni post-hoc tests. P-values less than 0.05 were considered statistically significant. There was no difference in UWSFR among the groups. Cotinine levels were significantly higher among cigarette- (P &lt; 0.001) and waterpipe-smokers (P &lt; 0.001) and E-cig users (P &lt; 0.001) than never-smokers. IL-1β (P &lt; 0.01) and IL-6 (P &lt; 0.01) levels were significantly higher among cigarette- and waterpipe-smokers than E-cig users and never-smokers. There was no difference in PPD, CAL, mesial and distal MBL and whole salivary IL-1β and IL-6 levels among E-cig users and never-smokers. In conclusion, clinical and radiographic parameters of periodontal inflammation were poorer in cigarette and waterpipe smokers than E-cig users and never-smokers; and whole salivary cotinine levels were similar in all groups. Whole salivary IL-1β and IL-6 levels were higher in cigarette- and waterpipe-smokers than E-cig users and never-smokers.&quot;,&quot;publisher&quot;:&quot;Elsevier&quot;,&quot;volume&quot;:&quot;61&quot;},&quot;isTemporary&quot;:false}]},{&quot;citationID&quot;:&quot;MENDELEY_CITATION_d5c82168-de4b-42b1-bb80-67e689fa0e1a&quot;,&quot;properties&quot;:{&quot;noteIndex&quot;:0},&quot;isEdited&quot;:false,&quot;manualOverride&quot;:{&quot;isManuallyOverridden&quot;:false,&quot;citeprocText&quot;:&quot;[12]&quot;,&quot;manualOverrideText&quot;:&quot;&quot;},&quot;citationTag&quot;:&quot;MENDELEY_CITATION_v3_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&quot;,&quot;citationItems&quot;:[{&quot;id&quot;:&quot;f0f35efb-fa32-3dd2-a963-e456415896a8&quot;,&quot;itemData&quot;:{&quot;type&quot;:&quot;article-journal&quot;,&quot;id&quot;:&quot;f0f35efb-fa32-3dd2-a963-e456415896a8&quot;,&quot;title&quot;:&quot;Long-lasting bioactive compounds production from Malus x domestica Borkh var. Mela Rosa Marchigiana pulp callus culture with antioxidant activity: In vitro, ex vivo and in vivo validation&quot;,&quot;author&quot;:[{&quot;family&quot;:&quot;Gubitosa&quot;,&quot;given&quot;:&quot;Federica&quot;,&quot;parse-names&quot;:false,&quot;dropping-particle&quot;:&quot;&quot;,&quot;non-dropping-particle&quot;:&quot;&quot;},{&quot;family&quot;:&quot;Benayada&quot;,&quot;given&quot;:&quot;Leila&quot;,&quot;parse-names&quot;:false,&quot;dropping-particle&quot;:&quot;&quot;,&quot;non-dropping-particle&quot;:&quot;&quot;},{&quot;family&quot;:&quot;Fraternale&quot;,&quot;given&quot;:&quot;Daniele&quot;,&quot;parse-names&quot;:false,&quot;dropping-particle&quot;:&quot;&quot;,&quot;non-dropping-particle&quot;:&quot;&quot;},{&quot;family&quot;:&quot;Bellis&quot;,&quot;given&quot;:&quot;Roberta&quot;,&quot;parse-names&quot;:false,&quot;dropping-particle&quot;:&quot;&quot;,&quot;non-dropping-particle&quot;:&quot;De&quot;},{&quot;family&quot;:&quot;Carloni&quot;,&quot;given&quot;:&quot;Silvia&quot;,&quot;parse-names&quot;:false,&quot;dropping-particle&quot;:&quot;&quot;,&quot;non-dropping-particle&quot;:&quot;&quot;},{&quot;family&quot;:&quot;Potenza&quot;,&quot;given&quot;:&quot;Lucia&quot;,&quot;parse-names&quot;:false,&quot;dropping-particle&quot;:&quot;&quot;,&quot;non-dropping-particle&quot;:&quot;&quot;},{&quot;family&quot;:&quot;Chiarantini&quot;,&quot;given&quot;:&quot;Laura&quot;,&quot;parse-names&quot;:false,&quot;dropping-particle&quot;:&quot;&quot;,&quot;non-dropping-particle&quot;:&quot;&quot;},{&quot;family&quot;:&quot;Gorassini&quot;,&quot;given&quot;:&quot;Andrea&quot;,&quot;parse-names&quot;:false,&quot;dropping-particle&quot;:&quot;&quot;,&quot;non-dropping-particle&quot;:&quot;&quot;},{&quot;family&quot;:&quot;Verardo&quot;,&quot;given&quot;:&quot;Giancarlo&quot;,&quot;parse-names&quot;:false,&quot;dropping-particle&quot;:&quot;&quot;,&quot;non-dropping-particle&quot;:&quot;&quot;},{&quot;family&quot;:&quot;Roselli&quot;,&quot;given&quot;:&quot;Carla&quot;,&quot;parse-names&quot;:false,&quot;dropping-particle&quot;:&quot;&quot;,&quot;non-dropping-particle&quot;:&quot;&quot;},{&quot;family&quot;:&quot;Valentini&quot;,&quot;given&quot;:&quot;Laura&quot;,&quot;parse-names&quot;:false,&quot;dropping-particle&quot;:&quot;&quot;,&quot;non-dropping-particle&quot;:&quot;&quot;},{&quot;family&quot;:&quot;Gobbi&quot;,&quot;given&quot;:&quot;Pietro&quot;,&quot;parse-names&quot;:false,&quot;dropping-particle&quot;:&quot;&quot;,&quot;non-dropping-particle&quot;:&quot;&quot;},{&quot;family&quot;:&quot;Balduini&quot;,&quot;given&quot;:&quot;Walter&quot;,&quot;parse-names&quot;:false,&quot;dropping-particle&quot;:&quot;&quot;,&quot;non-dropping-particle&quot;:&quot;&quot;},{&quot;family&quot;:&quot;Ventura&quot;,&quot;given&quot;:&quot;Natascia&quot;,&quot;parse-names&quot;:false,&quot;dropping-particle&quot;:&quot;&quot;,&quot;non-dropping-particle&quot;:&quot;&quot;},{&quot;family&quot;:&quot;Giannaccini&quot;,&quot;given&quot;:&quot;Francesca&quot;,&quot;parse-names&quot;:false,&quot;dropping-particle&quot;:&quot;&quot;,&quot;non-dropping-particle&quot;:&quot;&quot;},{&quot;family&quot;:&quot;Kass&quot;,&quot;given&quot;:&quot;George E.N.&quot;,&quot;parse-names&quot;:false,&quot;dropping-particle&quot;:&quot;&quot;,&quot;non-dropping-particle&quot;:&quot;&quot;},{&quot;family&quot;:&quot;Colomba&quot;,&quot;given&quot;:&quot;Mariastella&quot;,&quot;parse-names&quot;:false,&quot;dropping-particle&quot;:&quot;&quot;,&quot;non-dropping-particle&quot;:&quot;&quot;},{&quot;family&quot;:&quot;Albertini&quot;,&quot;given&quot;:&quot;Maria Cristina&quot;,&quot;parse-names&quot;:false,&quot;dropping-particle&quot;:&quot;&quot;,&quot;non-dropping-particle&quot;:&quot;&quot;}],&quot;container-title&quot;:&quot;Journal of Functional Foods&quot;,&quot;container-title-short&quot;:&quot;J Funct Foods&quot;,&quot;accessed&quot;:{&quot;date-parts&quot;:[[2024,12,30]]},&quot;DOI&quot;:&quot;10.1016/J.JFF.2024.106073&quot;,&quot;ISSN&quot;:&quot;1756-4646&quot;,&quot;issued&quot;:{&quot;date-parts&quot;:[[2024,3,1]]},&quot;page&quot;:&quot;106073&quot;,&quot;abstract&quot;:&quot;The Mela Rosa Marchigiana (MRM) pulp callus, kept alive since 2017 by monthly sub-cultures, was investigated and morphologically described. In the present paper, the MRM callus ethanolic Extract (MRME) was prepared from one of the 2022 callus sub-cultures and analysed by GC-MS and GC-FID. The investigation was carried out to test whether a long-term culture could affect either the amount or the bioactivity (or both) of the triterpenes produced by the callus. To this aim, the 2022 extract (MRME 2022) was compared to the extract prepared a few years ago (i.e., MRME 2019). Obtained results showed that the composition of both extracts was almost the same, thus revealing that the callus culture efficiency of triterpenes production was nearly unchanged over time. When analysing the biological effect of the extract, all experimental tests, including cell-free, in vitro, ex vivo, and in vivo assays, confirmed that MRME 2022 significantly protected cells, tissues, or whole organisms from oxidative stress-induced damage. Present results could lead to future studies to test MRME as a possible ingredient of a nutraceutical formulation for healthy aging or for the prevention of oxidative stress-associated pathologies.&quot;,&quot;publisher&quot;:&quot;Elsevier&quot;,&quot;volume&quot;:&quot;114&quot;},&quot;isTemporary&quot;:false}]},{&quot;citationID&quot;:&quot;MENDELEY_CITATION_cdf20735-5e0a-4604-85e1-d86f35112b14&quot;,&quot;properties&quot;:{&quot;noteIndex&quot;:0},&quot;isEdited&quot;:false,&quot;manualOverride&quot;:{&quot;isManuallyOverridden&quot;:false,&quot;citeprocText&quot;:&quot;[13]&quot;,&quot;manualOverrideText&quot;:&quot;&quot;},&quot;citationTag&quot;:&quot;MENDELEY_CITATION_v3_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&quot;,&quot;citationItems&quot;:[{&quot;id&quot;:&quot;e556b3ad-f95c-3d15-9dfe-407a4381e187&quot;,&quot;itemData&quot;:{&quot;type&quot;:&quot;article-journal&quot;,&quot;id&quot;:&quot;e556b3ad-f95c-3d15-9dfe-407a4381e187&quot;,&quot;title&quot;:&quot;Flavonoids casticin and chrysosplenol D from Artemisia annua L. inhibit inflammation in vitro and in vivo&quot;,&quot;author&quot;:[{&quot;family&quot;:&quot;Li&quot;,&quot;given&quot;:&quot;Yu Jie&quot;,&quot;parse-names&quot;:false,&quot;dropping-particle&quot;:&quot;&quot;,&quot;non-dropping-particle&quot;:&quot;&quot;},{&quot;family&quot;:&quot;Guo&quot;,&quot;given&quot;:&quot;Yan&quot;,&quot;parse-names&quot;:false,&quot;dropping-particle&quot;:&quot;&quot;,&quot;non-dropping-particle&quot;:&quot;&quot;},{&quot;family&quot;:&quot;Yang&quot;,&quot;given&quot;:&quot;Qing&quot;,&quot;parse-names&quot;:false,&quot;dropping-particle&quot;:&quot;&quot;,&quot;non-dropping-particle&quot;:&quot;&quot;},{&quot;family&quot;:&quot;Weng&quot;,&quot;given&quot;:&quot;Xiao Gang&quot;,&quot;parse-names&quot;:false,&quot;dropping-particle&quot;:&quot;&quot;,&quot;non-dropping-particle&quot;:&quot;&quot;},{&quot;family&quot;:&quot;Yang&quot;,&quot;given&quot;:&quot;Lan&quot;,&quot;parse-names&quot;:false,&quot;dropping-particle&quot;:&quot;&quot;,&quot;non-dropping-particle&quot;:&quot;&quot;},{&quot;family&quot;:&quot;Wang&quot;,&quot;given&quot;:&quot;Ya Jie&quot;,&quot;parse-names&quot;:false,&quot;dropping-particle&quot;:&quot;&quot;,&quot;non-dropping-particle&quot;:&quot;&quot;},{&quot;family&quot;:&quot;Chen&quot;,&quot;given&quot;:&quot;Ying&quot;,&quot;parse-names&quot;:false,&quot;dropping-particle&quot;:&quot;&quot;,&quot;non-dropping-particle&quot;:&quot;&quot;},{&quot;family&quot;:&quot;Zhang&quot;,&quot;given&quot;:&quot;Dong&quot;,&quot;parse-names&quot;:false,&quot;dropping-particle&quot;:&quot;&quot;,&quot;non-dropping-particle&quot;:&quot;&quot;},{&quot;family&quot;:&quot;Li&quot;,&quot;given&quot;:&quot;Qi&quot;,&quot;parse-names&quot;:false,&quot;dropping-particle&quot;:&quot;&quot;,&quot;non-dropping-particle&quot;:&quot;&quot;},{&quot;family&quot;:&quot;Liu&quot;,&quot;given&quot;:&quot;Xu Cen&quot;,&quot;parse-names&quot;:false,&quot;dropping-particle&quot;:&quot;&quot;,&quot;non-dropping-particle&quot;:&quot;&quot;},{&quot;family&quot;:&quot;Kan&quot;,&quot;given&quot;:&quot;Xiao Xi&quot;,&quot;parse-names&quot;:false,&quot;dropping-particle&quot;:&quot;&quot;,&quot;non-dropping-particle&quot;:&quot;&quot;},{&quot;family&quot;:&quot;Chen&quot;,&quot;given&quot;:&quot;Xi&quot;,&quot;parse-names&quot;:false,&quot;dropping-particle&quot;:&quot;&quot;,&quot;non-dropping-particle&quot;:&quot;&quot;},{&quot;family&quot;:&quot;Zhu&quot;,&quot;given&quot;:&quot;Xiao Xin&quot;,&quot;parse-names&quot;:false,&quot;dropping-particle&quot;:&quot;&quot;,&quot;non-dropping-particle&quot;:&quot;&quot;},{&quot;family&quot;:&quot;Kmoníèková&quot;,&quot;given&quot;:&quot;Eva&quot;,&quot;parse-names&quot;:false,&quot;dropping-particle&quot;:&quot;&quot;,&quot;non-dropping-particle&quot;:&quot;&quot;},{&quot;family&quot;:&quot;Zídek&quot;,&quot;given&quot;:&quot;Zdenìk&quot;,&quot;parse-names&quot;:false,&quot;dropping-particle&quot;:&quot;&quot;,&quot;non-dropping-particle&quot;:&quot;&quot;}],&quot;container-title&quot;:&quot;Toxicology and Applied Pharmacology&quot;,&quot;container-title-short&quot;:&quot;Toxicol Appl Pharmacol&quot;,&quot;accessed&quot;:{&quot;date-parts&quot;:[[2024,12,30]]},&quot;DOI&quot;:&quot;10.1016/J.TAAP.2015.04.005&quot;,&quot;ISSN&quot;:&quot;0041-008X&quot;,&quot;PMID&quot;:&quot;25891417&quot;,&quot;issued&quot;:{&quot;date-parts&quot;:[[2015,8,1]]},&quot;page&quot;:&quot;151-158&quot;,&quot;abstract&quot;:&quot;The aim of our experiments was to investigate the anti-inflammatory properties of casticin and chrysosplenol D, two flavonoids present in Artemisia annua L. Methods: Topical inflammation was induced in ICR mice using croton oil. Mice were then treated with casticin or chrysosplenol D. Cutaneous histological changes and edema were assessed. ICR mice were intragastrically administrated with casticin or chrysosplenol D followed by intraperitoneal injection of lipopolysaccharide (LPS). Mouse Raw264.7 macrophage cells were incubated with casticin or chrysosplenol D. Intracellular phosphorylation was detected, and migration was assessed by trans-well assay. HT-29/NFκB-luc cells were incubated with casticin or chrysosplenol D in the presence or absence of LPS, and NF-κB activation was quantified. Results: In mice, administration of casticin (0.5, 1 and 1.5μmol/cm2) and chrysosplenol D (1 and 1.5μmol/cm2) inhibited croton oil-induced ear edema (casticin: 29.39-64.95%; chrysosplenol D: 37.76-65.89%, all P&lt;0.05) in a manner similar to indomethacin (0.5, 1 and 1.5μmol/cm2; 55.63-84.58%). Casticin (0.07, 0.13 and 0.27mmol/kg) and chrysosplenol D (0.07, 0.14 and 0.28mmol/kg) protected against LPS-induced systemic inflammatory response syndrome (SIRS) in mice (all P&lt;0.05), in a manner similar to dexamethasone (0.03mmol/kg). Casticin and chrysosplenol D suppressed LPS-induced release of IL-1 beta, IL-6 and MCP-1, inhibited cell migration, and reduced LPS-induced IκB and c-JUN phosphorylation in Raw264.7 cells. JNK inhibitor SP600125 blocked the inhibitory effect of chrysosplenol D on cytokine release. Conclusions: The flavonoids casticin and chrysosplenol D from A. annua L. inhibited inflammation in vitro and in vivo.&quot;,&quot;publisher&quot;:&quot;Academic Press&quot;,&quot;issue&quot;:&quot;3&quot;,&quot;volume&quot;:&quot;286&quot;},&quot;isTemporary&quot;:false}]},{&quot;citationID&quot;:&quot;MENDELEY_CITATION_69952a1a-f334-47cb-b9b6-e989cf5fff1b&quot;,&quot;properties&quot;:{&quot;noteIndex&quot;:0},&quot;isEdited&quot;:false,&quot;manualOverride&quot;:{&quot;isManuallyOverridden&quot;:false,&quot;citeprocText&quot;:&quot;[14]&quot;,&quot;manualOverrideText&quot;:&quot;&quot;},&quot;citationTag&quot;:&quot;MENDELEY_CITATION_v3_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&quot;,&quot;citationItems&quot;:[{&quot;id&quot;:&quot;a82fb97e-2e71-3b25-a031-876e92401df2&quot;,&quot;itemData&quot;:{&quot;type&quot;:&quot;article-journal&quot;,&quot;id&quot;:&quot;a82fb97e-2e71-3b25-a031-876e92401df2&quot;,&quot;title&quot;:&quot;Sterubin protects against chemically-induced Alzheimer’s disease by reducing biomarkers of inflammation- IL-6/ IL-β/ TNF-α and oxidative stress- SOD/MDA in rats&quot;,&quot;author&quot;:[{&quot;family&quot;:&quot;Kazmi&quot;,&quot;given&quot;:&quot;Imran&quot;,&quot;parse-names&quot;:false,&quot;dropping-particle&quot;:&quot;&quot;,&quot;non-dropping-particle&quot;:&quot;&quot;},{&quot;family&quot;:&quot;Al-Abbasi&quot;,&quot;given&quot;:&quot;Fahad A.&quot;,&quot;parse-names&quot;:false,&quot;dropping-particle&quot;:&quot;&quot;,&quot;non-dropping-particle&quot;:&quot;&quot;},{&quot;family&quot;:&quot;Afzal&quot;,&quot;given&quot;:&quot;Muhammad&quot;,&quot;parse-names&quot;:false,&quot;dropping-particle&quot;:&quot;&quot;,&quot;non-dropping-particle&quot;:&quot;&quot;},{&quot;family&quot;:&quot;Shahid Nadeem&quot;,&quot;given&quot;:&quot;Muhammad&quot;,&quot;parse-names&quot;:false,&quot;dropping-particle&quot;:&quot;&quot;,&quot;non-dropping-particle&quot;:&quot;&quot;},{&quot;family&quot;:&quot;Altayb&quot;,&quot;given&quot;:&quot;Hisham N.&quot;,&quot;parse-names&quot;:false,&quot;dropping-particle&quot;:&quot;&quot;,&quot;non-dropping-particle&quot;:&quot;&quot;}],&quot;container-title&quot;:&quot;Saudi Journal of Biological Sciences&quot;,&quot;container-title-short&quot;:&quot;Saudi J Biol Sci&quot;,&quot;accessed&quot;:{&quot;date-parts&quot;:[[2024,12,30]]},&quot;DOI&quot;:&quot;10.1016/J.SJBS.2023.103560&quot;,&quot;ISSN&quot;:&quot;1319-562X&quot;,&quot;issued&quot;:{&quot;date-parts&quot;:[[2023,2,1]]},&quot;page&quot;:&quot;103560&quot;,&quot;abstract&quot;:&quot;Sterubin, a flavanone is an active chemical compound that possesses neuroprotective activity. The current investigation was intended to assess the sterubin effect in scopolamine-activated Alzheimer's disease. The rats were induced with scopolamine (1.5 mg/kg) followed by treatment with sterubin (10 mg/kg) for 14 days. Behavioural analysis was predictable by the Y-maze test and Morris water test. Biochemical variables like nitric oxide acetylcholinesterase, Choline acetyltransferase, antioxidant markers like superoxide dismutase, glutathione transferase, malondialdehyde, catalase, and myeloperoxidase activity, neuroinflammatory markers such as tumor necrosis factor-alpha, nuclear factor kappa B, interferon-gamma, interleukin (IL-1β), and IL-6 were measured. The result stated that sterubin reversed the oxidative stress parameters, increased motor performance, and lowered the inflammatory markers in scopolamine-induced rats. The study demonstrated that sterubin possesses neuroprotective, anti-inflammatory, and antioxidant properties which can be used as a beneficial medication in AD.&quot;,&quot;publisher&quot;:&quot;Elsevier&quot;,&quot;issue&quot;:&quot;2&quot;,&quot;volume&quot;:&quot;30&quot;},&quot;isTemporary&quot;:false}]},{&quot;citationID&quot;:&quot;MENDELEY_CITATION_deb7f41f-d422-483a-8d91-e1becb62ee5f&quot;,&quot;properties&quot;:{&quot;noteIndex&quot;:0},&quot;isEdited&quot;:false,&quot;manualOverride&quot;:{&quot;isManuallyOverridden&quot;:false,&quot;citeprocText&quot;:&quot;[15]&quot;,&quot;manualOverrideText&quot;:&quot;&quot;},&quot;citationTag&quot;:&quot;MENDELEY_CITATION_v3_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&quot;,&quot;citationItems&quot;:[{&quot;id&quot;:&quot;7a72327d-1c68-3b09-82bc-ad2385d99b05&quot;,&quot;itemData&quot;:{&quot;type&quot;:&quot;article-journal&quot;,&quot;id&quot;:&quot;7a72327d-1c68-3b09-82bc-ad2385d99b05&quot;,&quot;title&quot;:&quot;Melatonin increases AKT and SOD gene and protein expressions in diabetic rats&quot;,&quot;author&quot;:[{&quot;family&quot;:&quot;Lotfy&quot;,&quot;given&quot;:&quot;Mohamed&quot;,&quot;parse-names&quot;:false,&quot;dropping-particle&quot;:&quot;&quot;,&quot;non-dropping-particle&quot;:&quot;&quot;},{&quot;family&quot;:&quot;Khattab&quot;,&quot;given&quot;:&quot;Aalaa&quot;,&quot;parse-names&quot;:false,&quot;dropping-particle&quot;:&quot;&quot;,&quot;non-dropping-particle&quot;:&quot;&quot;},{&quot;family&quot;:&quot;Shata&quot;,&quot;given&quot;:&quot;Mohammed&quot;,&quot;parse-names&quot;:false,&quot;dropping-particle&quot;:&quot;&quot;,&quot;non-dropping-particle&quot;:&quot;&quot;},{&quot;family&quot;:&quot;Alhasbani&quot;,&quot;given&quot;:&quot;Ahmad&quot;,&quot;parse-names&quot;:false,&quot;dropping-particle&quot;:&quot;&quot;,&quot;non-dropping-particle&quot;:&quot;&quot;},{&quot;family&quot;:&quot;Khalaf&quot;,&quot;given&quot;:&quot;Abdallah&quot;,&quot;parse-names&quot;:false,&quot;dropping-particle&quot;:&quot;&quot;,&quot;non-dropping-particle&quot;:&quot;&quot;},{&quot;family&quot;:&quot;Alsaeedi&quot;,&quot;given&quot;:&quot;Saeed&quot;,&quot;parse-names&quot;:false,&quot;dropping-particle&quot;:&quot;&quot;,&quot;non-dropping-particle&quot;:&quot;&quot;},{&quot;family&quot;:&quot;Thaker&quot;,&quot;given&quot;:&quot;Mahdi&quot;,&quot;parse-names&quot;:false,&quot;dropping-particle&quot;:&quot;&quot;,&quot;non-dropping-particle&quot;:&quot;&quot;},{&quot;family&quot;:&quot;Said&quot;,&quot;given&quot;:&quot;Hazza&quot;,&quot;parse-names&quot;:false,&quot;dropping-particle&quot;:&quot;&quot;,&quot;non-dropping-particle&quot;:&quot;&quot;},{&quot;family&quot;:&quot;Tumi&quot;,&quot;given&quot;:&quot;Harun&quot;,&quot;parse-names&quot;:false,&quot;dropping-particle&quot;:&quot;&quot;,&quot;non-dropping-particle&quot;:&quot;&quot;},{&quot;family&quot;:&quot;Alzahmi&quot;,&quot;given&quot;:&quot;Hassan&quot;,&quot;parse-names&quot;:false,&quot;dropping-particle&quot;:&quot;&quot;,&quot;non-dropping-particle&quot;:&quot;&quot;},{&quot;family&quot;:&quot;Alblooshi&quot;,&quot;given&quot;:&quot;Omar&quot;,&quot;parse-names&quot;:false,&quot;dropping-particle&quot;:&quot;&quot;,&quot;non-dropping-particle&quot;:&quot;&quot;},{&quot;family&quot;:&quot;Hamdan&quot;,&quot;given&quot;:&quot;Mohamad&quot;,&quot;parse-names&quot;:false,&quot;dropping-particle&quot;:&quot;&quot;,&quot;non-dropping-particle&quot;:&quot;&quot;},{&quot;family&quot;:&quot;Hussein&quot;,&quot;given&quot;:&quot;Amjad&quot;,&quot;parse-names&quot;:false,&quot;dropping-particle&quot;:&quot;&quot;,&quot;non-dropping-particle&quot;:&quot;&quot;},{&quot;family&quot;:&quot;Kundu&quot;,&quot;given&quot;:&quot;Biduth&quot;,&quot;parse-names&quot;:false,&quot;dropping-particle&quot;:&quot;&quot;,&quot;non-dropping-particle&quot;:&quot;&quot;},{&quot;family&quot;:&quot;Adeghate&quot;,&quot;given&quot;:&quot;Ernest A.&quot;,&quot;parse-names&quot;:false,&quot;dropping-particle&quot;:&quot;&quot;,&quot;non-dropping-particle&quot;:&quot;&quot;}],&quot;container-title&quot;:&quot;Heliyon&quot;,&quot;container-title-short&quot;:&quot;Heliyon&quot;,&quot;accessed&quot;:{&quot;date-parts&quot;:[[2024,12,30]]},&quot;DOI&quot;:&quot;10.1016/J.HELIYON.2024.E28639&quot;,&quot;ISSN&quot;:&quot;2405-8440&quot;,&quot;issued&quot;:{&quot;date-parts&quot;:[[2024,4,15]]},&quot;page&quot;:&quot;e28639&quot;,&quot;abstract&quot;:&quot;Diabetes mellitus (DM) is a chronic metabolic disease marked by hyperglycemia due to insulin deficiency or insulin resistance leading to many chronic complications. It is thus important to manage diabetes effectively in order to prevent and or delay these complications. Melatonin is produced by the pineal gland and regulates the wake-sleep circadian rhythm. Existing evidence suggests that melatonin may be effective in the management of DM. However, the evidence on the mechanism of the beneficial effect melatonin as a treatment for DM is limited. In this study, we investigated the effect of melatonin treatment on blood glucose, insulin (INS), AKT and superoxide dismutase (SOD) gene levels in diabetic rats. Non-diabetic and diabetic rats were treated orally for 4 weeks with either 25 mg or 50 mg/kg body weight of melatonin. At the end of the study, pancreatic and liver tissues morphology, glucose homeostasis, serum insulin and SOD levels, hepatic gene and protein expression of SOD as protecting antioxidant enzyme and AKT as central element involved in PI3K/AKT insulin signaling pathway were estimated. Melatonin treated diabetic rats showed reduced hyperglycemia, and increased serum insulin and SOD levels. In addition, melatonin induced an increased gene and protein expression of SOD and AKT. In conclusion, melatonin may play a role in treating diabetic rats via stimulation of insulin secretion, insulin signaling and reduction in oxidative stress.&quot;,&quot;publisher&quot;:&quot;Elsevier&quot;,&quot;issue&quot;:&quot;7&quot;,&quot;volume&quot;:&quot;10&quot;},&quot;isTemporary&quot;:false}]},{&quot;citationID&quot;:&quot;MENDELEY_CITATION_b326ac31-f2b8-4dbb-bcdd-65d06ab3bfcc&quot;,&quot;properties&quot;:{&quot;noteIndex&quot;:0},&quot;isEdited&quot;:false,&quot;manualOverride&quot;:{&quot;isManuallyOverridden&quot;:false,&quot;citeprocText&quot;:&quot;[16]&quot;,&quot;manualOverrideText&quot;:&quot;&quot;},&quot;citationTag&quot;:&quot;MENDELEY_CITATION_v3_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&quot;,&quot;citationItems&quot;:[{&quot;id&quot;:&quot;25e173db-d027-38ad-8e0e-747d825381e1&quot;,&quot;itemData&quot;:{&quot;type&quot;:&quot;article-journal&quot;,&quot;id&quot;:&quot;25e173db-d027-38ad-8e0e-747d825381e1&quot;,&quot;title&quot;:&quot;Swimming exercise regulates indices of skeletal muscle glucose metabolism and attenuates cardiac inflammatory cytokines activity via IL-6/TNF-α pathway in streptozotocin-induced diabetic rats&quot;,&quot;author&quot;:[{&quot;family&quot;:&quot;Okon&quot;,&quot;given&quot;:&quot;Idara Asuquo&quot;,&quot;parse-names&quot;:false,&quot;dropping-particle&quot;:&quot;&quot;,&quot;non-dropping-particle&quot;:&quot;&quot;},{&quot;family&quot;:&quot;Nwachukwu&quot;,&quot;given&quot;:&quot;David Chukwunyerem&quot;,&quot;parse-names&quot;:false,&quot;dropping-particle&quot;:&quot;&quot;,&quot;non-dropping-particle&quot;:&quot;&quot;},{&quot;family&quot;:&quot;Udoeyop&quot;,&quot;given&quot;:&quot;Favor Akpakpan&quot;,&quot;parse-names&quot;:false,&quot;dropping-particle&quot;:&quot;&quot;,&quot;non-dropping-particle&quot;:&quot;&quot;},{&quot;family&quot;:&quot;Uko&quot;,&quot;given&quot;:&quot;Bubaraye Robson&quot;,&quot;parse-names&quot;:false,&quot;dropping-particle&quot;:&quot;&quot;,&quot;non-dropping-particle&quot;:&quot;&quot;},{&quot;family&quot;:&quot;Umoren&quot;,&quot;given&quot;:&quot;Elizabeth Bassey&quot;,&quot;parse-names&quot;:false,&quot;dropping-particle&quot;:&quot;&quot;,&quot;non-dropping-particle&quot;:&quot;&quot;},{&quot;family&quot;:&quot;Kolawole&quot;,&quot;given&quot;:&quot;Tolunigba Abisola&quot;,&quot;parse-names&quot;:false,&quot;dropping-particle&quot;:&quot;&quot;,&quot;non-dropping-particle&quot;:&quot;&quot;},{&quot;family&quot;:&quot;Amadi&quot;,&quot;given&quot;:&quot;Ngozi glory&quot;,&quot;parse-names&quot;:false,&quot;dropping-particle&quot;:&quot;&quot;,&quot;non-dropping-particle&quot;:&quot;&quot;},{&quot;family&quot;:&quot;Owaji-Teleyem&quot;,&quot;given&quot;:&quot;Deborah melford&quot;,&quot;parse-names&quot;:false,&quot;dropping-particle&quot;:&quot;&quot;,&quot;non-dropping-particle&quot;:&quot;&quot;},{&quot;family&quot;:&quot;Owu&quot;,&quot;given&quot;:&quot;Daniel Udofia&quot;,&quot;parse-names&quot;:false,&quot;dropping-particle&quot;:&quot;&quot;,&quot;non-dropping-particle&quot;:&quot;&quot;}],&quot;container-title&quot;:&quot;Obesity Medicine&quot;,&quot;container-title-short&quot;:&quot;Obes Med&quot;,&quot;accessed&quot;:{&quot;date-parts&quot;:[[2024,12,30]]},&quot;DOI&quot;:&quot;10.1016/J.OBMED.2024.100559&quot;,&quot;ISSN&quot;:&quot;2451-8476&quot;,&quot;issued&quot;:{&quot;date-parts&quot;:[[2024,10,1]]},&quot;page&quot;:&quot;100559&quot;,&quot;abstract&quot;:&quot;Diabetes mellitus (DM) manifests with impaired glucose metabolism that affects the musculoskeletal and cardiovascular systems. This study investigated the effects of swimming exercise on some indices of muscle glucose metabolism and cardiac inflammatory markers in diabetic rats induced with streptozotocin. Wistar rats of both sexes (150–200 g) were assigned into five groups of seven (7) rats. Group 1: Control (CON), Group 2: Diabetes only (DM), Group 3: Exercise only (EX), Group 4: Diabetes + Exercise (DM + EX), Group 5: Diabetes + Insulin (DM + IN). Type 1 DM was induced via intraperitoneal injection of streptozotocin (60 mg/kg). Insulin (6 IU/g) was administered (IP) to animals in group 5. Swimming exercise test was done for 27 days after which animals were euthanized. Blood samples were collected while hamstring muscles and heart were harvested and homogenized to assess biochemical parameters. The body weight, serum insulin level, muscle glucose metabolic indices (glycogen, Glut-4, CK-MB), and cardiac troponin-T were significantly (P &lt; 0.05) decreased. In contrast, the random blood glucose, cardiac TNF-α, and IL-6 levels were increased (P &lt; 0.05) in diabetic rats when compared with the control group. Swimming exercise regimen significantly (P &lt; 0.05) reversed these anomalies by reducing blood glucose and cardiac inflammatory cytokines (TNF-α and IL-6) levels, improving serum insulin, muscle glycogen, and GLUT-4 expression in diabetic rats when compared to the DM group. The cardiac inflammatory cytokine levels in DM + EX were comparable to the DM + IN group. In conclusion, swimming exercise improves muscle glucose metabolism and protects the heart against cardiac inflammation in diabetic conditions.&quot;,&quot;publisher&quot;:&quot;Elsevier&quot;,&quot;volume&quot;:&quot;51&quot;},&quot;isTemporary&quot;:false}]},{&quot;citationID&quot;:&quot;MENDELEY_CITATION_fa94ef44-924e-4e9f-af05-c9936d2473ff&quot;,&quot;properties&quot;:{&quot;noteIndex&quot;:0},&quot;isEdited&quot;:false,&quot;manualOverride&quot;:{&quot;isManuallyOverridden&quot;:false,&quot;citeprocText&quot;:&quot;[17]&quot;,&quot;manualOverrideText&quot;:&quot;&quot;},&quot;citationTag&quot;:&quot;MENDELEY_CITATION_v3_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&quot;,&quot;citationItems&quot;:[{&quot;id&quot;:&quot;b52eb262-6b03-3163-ae51-83a690dd0ea6&quot;,&quot;itemData&quot;:{&quot;type&quot;:&quot;article-journal&quot;,&quot;id&quot;:&quot;b52eb262-6b03-3163-ae51-83a690dd0ea6&quot;,&quot;title&quot;:&quot;The fate of phenolic acids, flavonoids, vitamin C, antioxidant capacities of Cili (Rosa roxburghii) fruits upon processing and sensory properties of the processed products&quot;,&quot;author&quot;:[{&quot;family&quot;:&quot;Wang&quot;,&quot;given&quot;:&quot;Minghe&quot;,&quot;parse-names&quot;:false,&quot;dropping-particle&quot;:&quot;&quot;,&quot;non-dropping-particle&quot;:&quot;&quot;},{&quot;family&quot;:&quot;Lin&quot;,&quot;given&quot;:&quot;Xian&quot;,&quot;parse-names&quot;:false,&quot;dropping-particle&quot;:&quot;&quot;,&quot;non-dropping-particle&quot;:&quot;&quot;},{&quot;family&quot;:&quot;Xu&quot;,&quot;given&quot;:&quot;Yujuan&quot;,&quot;parse-names&quot;:false,&quot;dropping-particle&quot;:&quot;&quot;,&quot;non-dropping-particle&quot;:&quot;&quot;},{&quot;family&quot;:&quot;Xu&quot;,&quot;given&quot;:&quot;Baojun&quot;,&quot;parse-names&quot;:false,&quot;dropping-particle&quot;:&quot;&quot;,&quot;non-dropping-particle&quot;:&quot;&quot;}],&quot;container-title&quot;:&quot;Food Bioscience&quot;,&quot;container-title-short&quot;:&quot;Food Biosci&quot;,&quot;accessed&quot;:{&quot;date-parts&quot;:[[2024,12,30]]},&quot;DOI&quot;:&quot;10.1016/J.FBIO.2023.102729&quot;,&quot;ISSN&quot;:&quot;2212-4292&quot;,&quot;issued&quot;:{&quot;date-parts&quot;:[[2023,6,1]]},&quot;page&quot;:&quot;102729&quot;,&quot;abstract&quot;:&quot;As a new source of functional food materials, the fruits (Cili) of the wild plant Rosa roxburghii Tratt have been drawn much attention recent years in China. However, due to the acidic and astringent sensory property, cili gained little popularity in commercialization. This study aims to develop novel cili food product by different thermal processing methods and evaluated the changes in nutrient values and sensory properties so as to gain solid information to support the development of cili products. Canned cili, cili wine, and cili juice with or without pericarp were prepared. Although the food processing resulted in significant changes in bioactive substances of phenolics, flavonoids, and vitamin C, the processed products still showed high nutritional values. Among the various products, cili juice best prevented the loss of phenolics and flavonoids, and the retention of pericarp helped improve the prevention. Canned cili retained vitamin C most, and even the can solution had a higher vitamin C content as compared to other forms of products. For the antioxidant bioactivity, cili juice and can solution exhibited the most potent 2,2-diphenyl-1-picrylhydrazyl (DPPH) scavenging activity. According to the sensory results, the canned cili and cili wine were acceptable by customers and had potential commercial values.&quot;,&quot;publisher&quot;:&quot;Elsevier&quot;,&quot;volume&quot;:&quot;53&quot;},&quot;isTemporary&quot;:false}]},{&quot;citationID&quot;:&quot;MENDELEY_CITATION_7d7ab389-946a-4106-8363-8cb00a596945&quot;,&quot;properties&quot;:{&quot;noteIndex&quot;:0},&quot;isEdited&quot;:false,&quot;manualOverride&quot;:{&quot;isManuallyOverridden&quot;:false,&quot;citeprocText&quot;:&quot;[18]&quot;,&quot;manualOverrideText&quot;:&quot;&quot;},&quot;citationTag&quot;:&quot;MENDELEY_CITATION_v3_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&quot;,&quot;citationItems&quot;:[{&quot;id&quot;:&quot;16de600a-9910-314e-b483-f43c5d65fcf5&quot;,&quot;itemData&quot;:{&quot;type&quot;:&quot;article-journal&quot;,&quot;id&quot;:&quot;16de600a-9910-314e-b483-f43c5d65fcf5&quot;,&quot;title&quot;:&quot;Camel milk inhibits pulmonary oxidative stress and inflammation in a rat model of COPD induced by cigarette smoke exposure&quot;,&quot;author&quot;:[{&quot;family&quot;:&quot;Behrouz&quot;,&quot;given&quot;:&quot;Sepide&quot;,&quot;parse-names&quot;:false,&quot;dropping-particle&quot;:&quot;&quot;,&quot;non-dropping-particle&quot;:&quot;&quot;},{&quot;family&quot;:&quot;Mohammadi&quot;,&quot;given&quot;:&quot;Mahla&quot;,&quot;parse-names&quot;:false,&quot;dropping-particle&quot;:&quot;&quot;,&quot;non-dropping-particle&quot;:&quot;&quot;},{&quot;family&quot;:&quot;Sarir&quot;,&quot;given&quot;:&quot;Hadi&quot;,&quot;parse-names&quot;:false,&quot;dropping-particle&quot;:&quot;&quot;,&quot;non-dropping-particle&quot;:&quot;&quot;},{&quot;family&quot;:&quot;Mohammadian Roshan&quot;,&quot;given&quot;:&quot;Nema&quot;,&quot;parse-names&quot;:false,&quot;dropping-particle&quot;:&quot;&quot;,&quot;non-dropping-particle&quot;:&quot;&quot;},{&quot;family&quot;:&quot;Boskabady&quot;,&quot;given&quot;:&quot;Mohammad Hossein&quot;,&quot;parse-names&quot;:false,&quot;dropping-particle&quot;:&quot;&quot;,&quot;non-dropping-particle&quot;:&quot;&quot;}],&quot;container-title&quot;:&quot;Heliyon&quot;,&quot;container-title-short&quot;:&quot;Heliyon&quot;,&quot;accessed&quot;:{&quot;date-parts&quot;:[[2024,12,30]]},&quot;DOI&quot;:&quot;10.1016/J.HELIYON.2024.E39416&quot;,&quot;ISSN&quot;:&quot;2405-8440&quot;,&quot;issued&quot;:{&quot;date-parts&quot;:[[2024,10,30]]},&quot;page&quot;:&quot;e39416&quot;,&quot;abstract&quot;:&quot;Background: One of the main causes of death in the world is chronic obstructive pulmonary disease (COPD) with partially reversible airflow limitation, which is defined as a preventable and treatable pathological condition. Anti-inflammatory and antioxidant properties of camel milk (CM) were indicated previously. The effect of CM in cigarette smoke induced-COPD in rats was evaluated in this study. Methods: Five groups of rats including a) control, b) chronic obstructive pulmonary diseases (COPD, cigarette smoke exposed), c) COPD group treated with dexamethasone, d) COPD group treated with low dose of camel milk (CM) and e) COPD group treated with high dose of CM by gavage during the cigarette smoke exposure period (n = 7) were studied. Results: In the COPD group, total and differential white blood cells (WBC) count in the bronchoalveolar fluid (BALF), tumor necrosis factor-alpha (TNF-α) level in the lung tissue and malondialdehyde (MDA) level in the BALF and lung tissue, lung pathological changes and tracheal responsiveness to methacholine were significantly increased, but catalase (CAT) and superoxide dismutase (SOD) activities and the level of thiol in the BALF and lung tissue were significantly decreased compared to the control group (all, p &lt; 0.001). However, in the COPD groups treated with both doses of CM and dexamethasone, most variable did not achieved to the control levels and were significantly different with the control group (p &lt; 0.05 to p &lt; 0.001). In the COPD group treated with both doses of CM (dose dependently) and dexamethasone, almost all measured variables were significantly improved (p &lt; 0.05 to p &lt; 0.001). Conclusion: The potential effect of CM on lung inflammation and oxidative stress in a rat model of COPD comparable to dexamethasone was demonstrated.&quot;,&quot;publisher&quot;:&quot;Elsevier&quot;,&quot;issue&quot;:&quot;20&quot;,&quot;volume&quot;:&quot;10&quot;},&quot;isTemporary&quot;:false}]},{&quot;citationID&quot;:&quot;MENDELEY_CITATION_ba7bb226-e5be-41e8-9e27-e66d39ac392d&quot;,&quot;properties&quot;:{&quot;noteIndex&quot;:0},&quot;isEdited&quot;:false,&quot;manualOverride&quot;:{&quot;isManuallyOverridden&quot;:false,&quot;citeprocText&quot;:&quot;[19]&quot;,&quot;manualOverrideText&quot;:&quot;&quot;},&quot;citationTag&quot;:&quot;MENDELEY_CITATION_v3_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&quot;,&quot;citationItems&quot;:[{&quot;id&quot;:&quot;e4bf5451-452e-3808-bb25-966199952817&quot;,&quot;itemData&quot;:{&quot;type&quot;:&quot;article-journal&quot;,&quot;id&quot;:&quot;e4bf5451-452e-3808-bb25-966199952817&quot;,&quot;title&quot;:&quot;The effect of vitamin C on the recovery of activity and survival of autografted ovaries through inhibition of oxidation and inflammation&quot;,&quot;author&quot;:[{&quot;family&quot;:&quot;Sasani&quot;,&quot;given&quot;:&quot;Maedeh Talesh&quot;,&quot;parse-names&quot;:false,&quot;dropping-particle&quot;:&quot;&quot;,&quot;non-dropping-particle&quot;:&quot;&quot;},{&quot;family&quot;:&quot;Mahmoodi&quot;,&quot;given&quot;:&quot;Monireh&quot;,&quot;parse-names&quot;:false,&quot;dropping-particle&quot;:&quot;&quot;,&quot;non-dropping-particle&quot;:&quot;&quot;},{&quot;family&quot;:&quot;Mehranjani&quot;,&quot;given&quot;:&quot;Malek Soleimani&quot;,&quot;parse-names&quot;:false,&quot;dropping-particle&quot;:&quot;&quot;,&quot;non-dropping-particle&quot;:&quot;&quot;}],&quot;container-title&quot;:&quot;Tissue and Cell&quot;,&quot;container-title-short&quot;:&quot;Tissue Cell&quot;,&quot;accessed&quot;:{&quot;date-parts&quot;:[[2024,12,30]]},&quot;DOI&quot;:&quot;10.1016/J.TICE.2024.102564&quot;,&quot;ISSN&quot;:&quot;0040-8166&quot;,&quot;URL&quot;:&quot;https://linkinghub.elsevier.com/retrieve/pii/S0040816624002659&quot;,&quot;issued&quot;:{&quot;date-parts&quot;:[[2024,12,1]]},&quot;page&quot;:&quot;102564&quot;,&quot;publisher&quot;:&quot;Churchill Livingstone&quot;,&quot;volume&quot;:&quot;91&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Version="2003"/>
</file>

<file path=customXml/itemProps1.xml><?xml version="1.0" encoding="utf-8"?>
<ds:datastoreItem xmlns:ds="http://schemas.openxmlformats.org/officeDocument/2006/customXml" ds:itemID="{AF213636-6587-4F33-BF21-678673E26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newtemplate.dotx</Template>
  <TotalTime>1361</TotalTime>
  <Pages>8</Pages>
  <Words>4265</Words>
  <Characters>24317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28525</CharactersWithSpaces>
  <SharedDoc>false</SharedDoc>
  <HLinks>
    <vt:vector size="12"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4456454</vt:i4>
      </vt:variant>
      <vt:variant>
        <vt:i4>10</vt:i4>
      </vt:variant>
      <vt:variant>
        <vt:i4>0</vt:i4>
      </vt:variant>
      <vt:variant>
        <vt:i4>5</vt:i4>
      </vt:variant>
      <vt:variant>
        <vt:lpwstr>http://www.sciencedirect.com/science/journal/22120173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MLP</cp:lastModifiedBy>
  <cp:revision>9</cp:revision>
  <cp:lastPrinted>2012-12-07T04:29:00Z</cp:lastPrinted>
  <dcterms:created xsi:type="dcterms:W3CDTF">2026-09-24T07:18:00Z</dcterms:created>
  <dcterms:modified xsi:type="dcterms:W3CDTF">2026-10-30T05:23:00Z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cab1d85e-42d6-3f58-b4c0-ab54fb66494f</vt:lpwstr>
  </property>
  <property fmtid="{D5CDD505-2E9C-101B-9397-08002B2CF9AE}" pid="4" name="Mendeley Citation Style_1">
    <vt:lpwstr>http://www.zotero.org/styles/ieee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18th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 (in-text citations)</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a067fdaa-16a5-4c17-a490-f5283f1f9480</vt:lpwstr>
  </property>
</Properties>
</file>